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04A86" w14:textId="159BC47F" w:rsidR="00B62E17" w:rsidRPr="00B266B0" w:rsidRDefault="00B62E17" w:rsidP="00B62E1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Pr>
          <w:bCs/>
          <w:noProof w:val="0"/>
          <w:sz w:val="24"/>
          <w:szCs w:val="24"/>
        </w:rPr>
        <w:t>1586</w:t>
      </w:r>
    </w:p>
    <w:p w14:paraId="11776FA6" w14:textId="4AB7E20D" w:rsidR="00A209D6" w:rsidRPr="00664DCD" w:rsidRDefault="00B62E17" w:rsidP="00B62E17">
      <w:pPr>
        <w:pStyle w:val="Header"/>
        <w:tabs>
          <w:tab w:val="right" w:pos="9639"/>
        </w:tabs>
        <w:rPr>
          <w:rFonts w:eastAsia="SimSun"/>
          <w:bCs/>
          <w:i/>
          <w:iCs/>
          <w:sz w:val="24"/>
          <w:szCs w:val="24"/>
          <w:lang w:eastAsia="zh-CN"/>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EF0A5C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7C67">
        <w:rPr>
          <w:rFonts w:cs="Arial"/>
          <w:b/>
          <w:bCs/>
          <w:sz w:val="24"/>
          <w:lang w:eastAsia="ja-JP"/>
        </w:rPr>
        <w:t>8.6.2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836827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7C67">
        <w:rPr>
          <w:rFonts w:ascii="Arial" w:hAnsi="Arial" w:cs="Arial"/>
          <w:b/>
          <w:bCs/>
          <w:sz w:val="24"/>
        </w:rPr>
        <w:t>UP aspects for SDT</w:t>
      </w:r>
    </w:p>
    <w:p w14:paraId="1F147C23" w14:textId="08A63F1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E7C67" w:rsidRPr="006E7C67">
        <w:rPr>
          <w:rFonts w:ascii="Arial" w:hAnsi="Arial" w:cs="Arial"/>
          <w:b/>
          <w:bCs/>
          <w:sz w:val="24"/>
        </w:rPr>
        <w:t>NR_SmallData_INACTIVE</w:t>
      </w:r>
      <w:proofErr w:type="spellEnd"/>
      <w:r w:rsidR="006E7C67" w:rsidRPr="006E7C67">
        <w:rPr>
          <w:rFonts w:ascii="Arial" w:hAnsi="Arial" w:cs="Arial"/>
          <w:b/>
          <w:bCs/>
          <w:sz w:val="24"/>
        </w:rPr>
        <w:t xml:space="preserve">-Core </w:t>
      </w:r>
      <w:r>
        <w:rPr>
          <w:rFonts w:ascii="Arial" w:hAnsi="Arial" w:cs="Arial"/>
          <w:b/>
          <w:bCs/>
          <w:sz w:val="24"/>
        </w:rPr>
        <w:t xml:space="preserve">- Release </w:t>
      </w:r>
      <w:r w:rsidR="006E7C6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1C74B2D" w:rsidR="007F2E08" w:rsidRDefault="00664DCD" w:rsidP="00A209D6">
      <w:r>
        <w:t>The previous meeting RAN2#116Bis-e reached the following agreements</w:t>
      </w:r>
      <w:r w:rsidR="006E7C67">
        <w:t>:</w:t>
      </w:r>
    </w:p>
    <w:tbl>
      <w:tblPr>
        <w:tblStyle w:val="TableGrid"/>
        <w:tblW w:w="0" w:type="auto"/>
        <w:tblLook w:val="04A0" w:firstRow="1" w:lastRow="0" w:firstColumn="1" w:lastColumn="0" w:noHBand="0" w:noVBand="1"/>
      </w:tblPr>
      <w:tblGrid>
        <w:gridCol w:w="9631"/>
      </w:tblGrid>
      <w:tr w:rsidR="006E7C67" w14:paraId="7D88DD77" w14:textId="77777777" w:rsidTr="00664DCD">
        <w:tc>
          <w:tcPr>
            <w:tcW w:w="9631" w:type="dxa"/>
            <w:shd w:val="clear" w:color="auto" w:fill="F2F2F2" w:themeFill="background1" w:themeFillShade="F2"/>
          </w:tcPr>
          <w:p w14:paraId="60FFD5AE" w14:textId="77777777" w:rsidR="00664DCD" w:rsidRDefault="00664DCD" w:rsidP="00664DCD">
            <w:r>
              <w:t>13.</w:t>
            </w:r>
            <w:r>
              <w:tab/>
              <w:t>PHR is configured only by default MAC Cell Group configuration</w:t>
            </w:r>
          </w:p>
          <w:p w14:paraId="09094019" w14:textId="77777777" w:rsidR="006E7C67" w:rsidRDefault="00664DCD" w:rsidP="00664DCD">
            <w:r>
              <w:t>14.</w:t>
            </w:r>
            <w:r>
              <w:tab/>
              <w:t>BSR is configured only by default MAC Cell Group configuration</w:t>
            </w:r>
          </w:p>
          <w:p w14:paraId="12A6E5D1" w14:textId="77777777" w:rsidR="00664DCD" w:rsidRDefault="00664DCD" w:rsidP="00664DCD">
            <w:r>
              <w:t>16.</w:t>
            </w:r>
            <w:r>
              <w:tab/>
              <w:t xml:space="preserve">LCH restrictions can be applied, re-using existing signalling, and it is up to </w:t>
            </w:r>
            <w:proofErr w:type="spellStart"/>
            <w:r>
              <w:t>gNB</w:t>
            </w:r>
            <w:proofErr w:type="spellEnd"/>
            <w:r>
              <w:t xml:space="preserve"> how restrictions are </w:t>
            </w:r>
            <w:proofErr w:type="gramStart"/>
            <w:r>
              <w:t>configured</w:t>
            </w:r>
            <w:proofErr w:type="gramEnd"/>
            <w:r>
              <w:t xml:space="preserve"> and MAC applies current specification rules)</w:t>
            </w:r>
          </w:p>
          <w:p w14:paraId="18234326" w14:textId="77777777" w:rsidR="00664DCD" w:rsidRDefault="00664DCD" w:rsidP="00664DCD">
            <w:r>
              <w:t>17.</w:t>
            </w:r>
            <w:r>
              <w:tab/>
              <w:t xml:space="preserve">If LCH restriction is applied for SDT, it is applied both for CG-SDT and RA-SDT.  </w:t>
            </w:r>
          </w:p>
          <w:p w14:paraId="3DD23C19" w14:textId="77777777" w:rsidR="00664DCD" w:rsidRDefault="00664DCD" w:rsidP="00664DCD">
            <w:r w:rsidRPr="00664DCD">
              <w:t>18.</w:t>
            </w:r>
            <w:r w:rsidRPr="00664DCD">
              <w:tab/>
              <w:t xml:space="preserve">FFS whether the </w:t>
            </w:r>
            <w:proofErr w:type="spellStart"/>
            <w:r w:rsidRPr="00664DCD">
              <w:t>logicalChannelSR-DelayTimer</w:t>
            </w:r>
            <w:proofErr w:type="spellEnd"/>
            <w:r w:rsidRPr="00664DCD">
              <w:t xml:space="preserve"> is not applied for logical channels configured with SDT</w:t>
            </w:r>
          </w:p>
          <w:p w14:paraId="4594EE5A" w14:textId="5BF491F2" w:rsidR="00664DCD" w:rsidRDefault="00664DCD" w:rsidP="00664DCD">
            <w:r w:rsidRPr="00664DCD">
              <w:t>21.</w:t>
            </w:r>
            <w:r w:rsidRPr="00664DCD">
              <w:tab/>
              <w:t>FFS if the size of CCCH message is considered in SDT data volume calculation</w:t>
            </w:r>
          </w:p>
        </w:tc>
      </w:tr>
    </w:tbl>
    <w:p w14:paraId="608671A0" w14:textId="4DBA6FEA" w:rsidR="006E7C67" w:rsidRDefault="006E7C67" w:rsidP="00A209D6"/>
    <w:p w14:paraId="0464432C" w14:textId="53C362DD" w:rsidR="006E7C67" w:rsidRDefault="006E7C67" w:rsidP="00A209D6">
      <w:r>
        <w:t xml:space="preserve">In this contribution, we discuss these points </w:t>
      </w:r>
      <w:r w:rsidR="00664DCD">
        <w:t>further</w:t>
      </w:r>
      <w:r>
        <w:t>.</w:t>
      </w:r>
    </w:p>
    <w:p w14:paraId="4F547731" w14:textId="247BA9A7" w:rsidR="00A209D6" w:rsidRPr="006E13D1" w:rsidRDefault="00A209D6" w:rsidP="00B7538C">
      <w:pPr>
        <w:pStyle w:val="Heading1"/>
      </w:pPr>
      <w:r w:rsidRPr="006E13D1">
        <w:t>2</w:t>
      </w:r>
      <w:r w:rsidRPr="006E13D1">
        <w:tab/>
      </w:r>
      <w:r w:rsidR="006E7C67">
        <w:t>Discussion</w:t>
      </w:r>
    </w:p>
    <w:p w14:paraId="5F01C058" w14:textId="54832405" w:rsidR="00A209D6" w:rsidRPr="006E13D1" w:rsidRDefault="00B7538C" w:rsidP="00A209D6">
      <w:pPr>
        <w:pStyle w:val="Heading2"/>
      </w:pPr>
      <w:r>
        <w:t>2</w:t>
      </w:r>
      <w:r w:rsidR="00A209D6" w:rsidRPr="006E13D1">
        <w:t>.1</w:t>
      </w:r>
      <w:r w:rsidR="00A209D6" w:rsidRPr="006E13D1">
        <w:tab/>
      </w:r>
      <w:r w:rsidR="00664DCD">
        <w:t>Default configuration for PHR and BSR</w:t>
      </w:r>
    </w:p>
    <w:p w14:paraId="2474B886" w14:textId="77777777" w:rsidR="00AF1A24" w:rsidRDefault="00BB313E" w:rsidP="00AF1A24">
      <w:r>
        <w:t>The default</w:t>
      </w:r>
      <w:r w:rsidR="00AF1A24">
        <w:t xml:space="preserve"> SRB and</w:t>
      </w:r>
      <w:r>
        <w:t xml:space="preserve"> MAC Cell Group configuration</w:t>
      </w:r>
      <w:r w:rsidR="00AF1A24">
        <w:t>s</w:t>
      </w:r>
      <w:r>
        <w:t xml:space="preserve"> </w:t>
      </w:r>
      <w:r w:rsidR="00AF1A24">
        <w:t>are</w:t>
      </w:r>
      <w:r>
        <w:t xml:space="preserve"> specified in TS 38.331</w:t>
      </w:r>
      <w:r w:rsidR="00AF1A24">
        <w:t xml:space="preserve"> (below). </w:t>
      </w:r>
    </w:p>
    <w:p w14:paraId="2F5278BC" w14:textId="2BA46E67" w:rsidR="00AF1A24" w:rsidRDefault="00AF1A24" w:rsidP="00AF1A24">
      <w:r>
        <w:t xml:space="preserve">Since only the </w:t>
      </w:r>
      <w:proofErr w:type="spellStart"/>
      <w:r>
        <w:t>PCell</w:t>
      </w:r>
      <w:proofErr w:type="spellEnd"/>
      <w:r>
        <w:t xml:space="preserve"> will be used for the SDT procedure, the PHR procedure can utilize the single entry PHR MAC CE format and the default configuration for the </w:t>
      </w:r>
      <w:proofErr w:type="spellStart"/>
      <w:r w:rsidRPr="00AF1A24">
        <w:rPr>
          <w:i/>
          <w:iCs/>
        </w:rPr>
        <w:t>phr</w:t>
      </w:r>
      <w:proofErr w:type="spellEnd"/>
      <w:r w:rsidRPr="00AF1A24">
        <w:rPr>
          <w:i/>
          <w:iCs/>
        </w:rPr>
        <w:t>-Config</w:t>
      </w:r>
      <w:r>
        <w:t xml:space="preserve"> can apply as is. </w:t>
      </w:r>
      <w:proofErr w:type="gramStart"/>
      <w:r>
        <w:t>For the</w:t>
      </w:r>
      <w:r w:rsidR="00840A73">
        <w:t xml:space="preserve"> purpose of</w:t>
      </w:r>
      <w:proofErr w:type="gramEnd"/>
      <w:r w:rsidR="00840A73">
        <w:t xml:space="preserve"> PHR during the SDT procedure, no enhancements are needed for the default configuration.</w:t>
      </w:r>
    </w:p>
    <w:p w14:paraId="5E2C360A" w14:textId="76565071" w:rsidR="00840A73" w:rsidRPr="00840A73" w:rsidRDefault="00840A73" w:rsidP="00AF1A24">
      <w:r>
        <w:rPr>
          <w:b/>
          <w:bCs/>
        </w:rPr>
        <w:t xml:space="preserve">Observation 1: </w:t>
      </w:r>
      <w:r>
        <w:t>For PHR during the SDT procedure, the current default configuration specified in TS 38.331 can be applied without changes.</w:t>
      </w:r>
    </w:p>
    <w:p w14:paraId="147DB72C" w14:textId="457EE0CA" w:rsidR="00664DCD" w:rsidRDefault="001A2188" w:rsidP="00B7538C">
      <w:r>
        <w:t>For the BSR procedure, however, defau</w:t>
      </w:r>
      <w:r w:rsidR="0040252A">
        <w:t xml:space="preserve">lt </w:t>
      </w:r>
      <w:r w:rsidR="00512C92">
        <w:t>LCG</w:t>
      </w:r>
      <w:r w:rsidR="00F8051C">
        <w:t xml:space="preserve"> configuration is only configured for SRBs</w:t>
      </w:r>
      <w:r w:rsidR="00931326">
        <w:t xml:space="preserve"> while for DRBs, no default configuration is needed in the legacy procedures.</w:t>
      </w:r>
      <w:r w:rsidR="00293E57">
        <w:t xml:space="preserve"> </w:t>
      </w:r>
      <w:r w:rsidR="002630C1">
        <w:t xml:space="preserve">Since the knowledge of neither of the LCH ID nor the priority of the LCH is required by the NW to interpret BSR, </w:t>
      </w:r>
      <w:r w:rsidR="00DF7F50">
        <w:t>this information</w:t>
      </w:r>
      <w:r w:rsidR="00A70C63">
        <w:t xml:space="preserve"> can be applied from the stored UE configuration configured by the anchor </w:t>
      </w:r>
      <w:proofErr w:type="spellStart"/>
      <w:r w:rsidR="00A70C63">
        <w:t>gNB</w:t>
      </w:r>
      <w:proofErr w:type="spellEnd"/>
      <w:r w:rsidR="00DF7F50">
        <w:t xml:space="preserve"> by the UE</w:t>
      </w:r>
      <w:r w:rsidR="00A70C63">
        <w:t xml:space="preserve">. Hence, only thing required for the default configuration for BSR procedure in case of SDT is the default LCG for the DRBs configured for </w:t>
      </w:r>
      <w:r w:rsidR="002318E9">
        <w:t>SDT procedure.</w:t>
      </w:r>
    </w:p>
    <w:p w14:paraId="2F827BC7" w14:textId="4827CF3F" w:rsidR="00AE1422" w:rsidRDefault="00AE1422" w:rsidP="00B7538C">
      <w:r>
        <w:t xml:space="preserve">There are basically two options to make the default LCG configuration for the SDT procedure: either the DRBs configured for SDT are also using LCG0 in which case the SDT data does not differentiate signalling and data; or the DRBs configured for SDT are using separate LCG ID from SRBS, e.g., LCG1 in which case the SDT data and signalling </w:t>
      </w:r>
      <w:r w:rsidR="00393E80">
        <w:t>can be identified by the NW from the BSR.</w:t>
      </w:r>
      <w:r w:rsidR="00F6448B">
        <w:t xml:space="preserve"> The former option could always utilize Short BSR MAC CE format while the latter option requires Long BSR MAC CE format and </w:t>
      </w:r>
      <w:r w:rsidR="00E06F60">
        <w:t xml:space="preserve">may also be truncated for padding BSR. Such behaviour </w:t>
      </w:r>
      <w:proofErr w:type="gramStart"/>
      <w:r w:rsidR="00E06F60">
        <w:t>follow</w:t>
      </w:r>
      <w:proofErr w:type="gramEnd"/>
      <w:r w:rsidR="00E06F60">
        <w:t xml:space="preserve"> the legacy principles,</w:t>
      </w:r>
      <w:r w:rsidR="002A12AB">
        <w:t xml:space="preserve"> so there should be no issues in supporting either of the options.</w:t>
      </w:r>
    </w:p>
    <w:p w14:paraId="7E69448C" w14:textId="39AD45F0" w:rsidR="002A12AB" w:rsidRDefault="002A12AB" w:rsidP="00B7538C">
      <w:r>
        <w:rPr>
          <w:b/>
          <w:bCs/>
        </w:rPr>
        <w:lastRenderedPageBreak/>
        <w:t>Proposal 1:</w:t>
      </w:r>
      <w:r>
        <w:t xml:space="preserve"> Specify one of the following options for default </w:t>
      </w:r>
      <w:r w:rsidR="00E733F6">
        <w:t>LCG configuration for DRBs configured for SDT:</w:t>
      </w:r>
    </w:p>
    <w:p w14:paraId="4760E2ED" w14:textId="603CAC74" w:rsidR="00E733F6" w:rsidRDefault="00E733F6" w:rsidP="00B7538C">
      <w:r>
        <w:tab/>
        <w:t>-</w:t>
      </w:r>
      <w:r>
        <w:tab/>
      </w:r>
      <w:r w:rsidR="00AF68D1">
        <w:t xml:space="preserve">LCG 0 is also used for DRBs configured for </w:t>
      </w:r>
      <w:proofErr w:type="gramStart"/>
      <w:r w:rsidR="00AF68D1">
        <w:t>SDT;</w:t>
      </w:r>
      <w:proofErr w:type="gramEnd"/>
    </w:p>
    <w:p w14:paraId="12B0B7C2" w14:textId="0C58FF1B" w:rsidR="00AF68D1" w:rsidRPr="002A12AB" w:rsidRDefault="002D155E" w:rsidP="00B7538C">
      <w:r>
        <w:tab/>
        <w:t>-</w:t>
      </w:r>
      <w:r>
        <w:tab/>
        <w:t>Dedicated LCG ID (e.g., LCG 1) is used for DRBs configured for SDT.</w:t>
      </w:r>
    </w:p>
    <w:tbl>
      <w:tblPr>
        <w:tblStyle w:val="TableGrid"/>
        <w:tblW w:w="0" w:type="auto"/>
        <w:tblLook w:val="04A0" w:firstRow="1" w:lastRow="0" w:firstColumn="1" w:lastColumn="0" w:noHBand="0" w:noVBand="1"/>
      </w:tblPr>
      <w:tblGrid>
        <w:gridCol w:w="9631"/>
      </w:tblGrid>
      <w:tr w:rsidR="00BB313E" w14:paraId="4B9232D1" w14:textId="77777777" w:rsidTr="00BB313E">
        <w:tc>
          <w:tcPr>
            <w:tcW w:w="9631" w:type="dxa"/>
            <w:shd w:val="clear" w:color="auto" w:fill="F2F2F2" w:themeFill="background1" w:themeFillShade="F2"/>
          </w:tcPr>
          <w:p w14:paraId="56D2C02B" w14:textId="77777777" w:rsidR="00AF1A24" w:rsidRPr="00AF1A24" w:rsidRDefault="00AF1A24" w:rsidP="00AF1A2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0" w:name="_Toc46439993"/>
            <w:bookmarkStart w:id="1" w:name="_Toc46444830"/>
            <w:bookmarkStart w:id="2" w:name="_Toc46487591"/>
            <w:bookmarkStart w:id="3" w:name="_Toc46439994"/>
            <w:bookmarkStart w:id="4" w:name="_Toc46444831"/>
            <w:bookmarkStart w:id="5" w:name="_Toc46487592"/>
            <w:r w:rsidRPr="00AF1A24">
              <w:rPr>
                <w:rFonts w:ascii="Arial" w:hAnsi="Arial"/>
                <w:sz w:val="28"/>
                <w:lang w:eastAsia="ja-JP"/>
              </w:rPr>
              <w:t>9.2.1</w:t>
            </w:r>
            <w:r w:rsidRPr="00AF1A24">
              <w:rPr>
                <w:rFonts w:ascii="Arial" w:hAnsi="Arial"/>
                <w:sz w:val="28"/>
                <w:lang w:eastAsia="ja-JP"/>
              </w:rPr>
              <w:tab/>
              <w:t>Default SRB configurations</w:t>
            </w:r>
            <w:bookmarkEnd w:id="0"/>
            <w:bookmarkEnd w:id="1"/>
            <w:bookmarkEnd w:id="2"/>
          </w:p>
          <w:p w14:paraId="6E230384" w14:textId="77777777" w:rsidR="00AF1A24" w:rsidRPr="00AF1A24" w:rsidRDefault="00AF1A24" w:rsidP="00AF1A24">
            <w:pPr>
              <w:overflowPunct w:val="0"/>
              <w:autoSpaceDE w:val="0"/>
              <w:autoSpaceDN w:val="0"/>
              <w:adjustRightInd w:val="0"/>
              <w:textAlignment w:val="baseline"/>
              <w:rPr>
                <w:lang w:eastAsia="ko-KR"/>
              </w:rPr>
            </w:pPr>
            <w:r w:rsidRPr="00AF1A24">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34"/>
              <w:gridCol w:w="944"/>
              <w:gridCol w:w="48"/>
              <w:gridCol w:w="992"/>
              <w:gridCol w:w="1792"/>
              <w:gridCol w:w="757"/>
            </w:tblGrid>
            <w:tr w:rsidR="00AF1A24" w:rsidRPr="00AF1A24" w14:paraId="5614853D" w14:textId="77777777" w:rsidTr="00396B14">
              <w:trPr>
                <w:tblHeader/>
              </w:trPr>
              <w:tc>
                <w:tcPr>
                  <w:tcW w:w="2268" w:type="dxa"/>
                  <w:tcBorders>
                    <w:top w:val="single" w:sz="4" w:space="0" w:color="auto"/>
                    <w:left w:val="single" w:sz="4" w:space="0" w:color="auto"/>
                    <w:bottom w:val="single" w:sz="4" w:space="0" w:color="auto"/>
                    <w:right w:val="single" w:sz="4" w:space="0" w:color="auto"/>
                  </w:tcBorders>
                  <w:hideMark/>
                </w:tcPr>
                <w:p w14:paraId="504ACD3F"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r w:rsidRPr="00AF1A24">
                    <w:rPr>
                      <w:rFonts w:ascii="Arial" w:hAnsi="Arial"/>
                      <w:b/>
                      <w:sz w:val="18"/>
                      <w:lang w:eastAsia="en-GB"/>
                    </w:rPr>
                    <w:t>Name</w:t>
                  </w:r>
                </w:p>
              </w:tc>
              <w:tc>
                <w:tcPr>
                  <w:tcW w:w="3118" w:type="dxa"/>
                  <w:gridSpan w:val="4"/>
                  <w:tcBorders>
                    <w:top w:val="single" w:sz="4" w:space="0" w:color="auto"/>
                    <w:left w:val="single" w:sz="4" w:space="0" w:color="auto"/>
                    <w:bottom w:val="single" w:sz="4" w:space="0" w:color="auto"/>
                    <w:right w:val="single" w:sz="4" w:space="0" w:color="auto"/>
                  </w:tcBorders>
                  <w:hideMark/>
                </w:tcPr>
                <w:p w14:paraId="60B0D21C"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r w:rsidRPr="00AF1A24">
                    <w:rPr>
                      <w:rFonts w:ascii="Arial" w:hAnsi="Arial"/>
                      <w:b/>
                      <w:sz w:val="18"/>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7A796F69"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r w:rsidRPr="00AF1A24">
                    <w:rPr>
                      <w:rFonts w:ascii="Arial" w:hAnsi="Arial"/>
                      <w:b/>
                      <w:sz w:val="18"/>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1FB3F6EC"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r w:rsidRPr="00AF1A24">
                    <w:rPr>
                      <w:rFonts w:ascii="Arial" w:hAnsi="Arial"/>
                      <w:b/>
                      <w:sz w:val="18"/>
                      <w:lang w:eastAsia="en-GB"/>
                    </w:rPr>
                    <w:t>Ver</w:t>
                  </w:r>
                </w:p>
              </w:tc>
            </w:tr>
            <w:tr w:rsidR="00AF1A24" w:rsidRPr="00AF1A24" w14:paraId="101D3988" w14:textId="77777777" w:rsidTr="00396B14">
              <w:trPr>
                <w:tblHeader/>
              </w:trPr>
              <w:tc>
                <w:tcPr>
                  <w:tcW w:w="2268" w:type="dxa"/>
                  <w:tcBorders>
                    <w:top w:val="single" w:sz="4" w:space="0" w:color="auto"/>
                    <w:left w:val="single" w:sz="4" w:space="0" w:color="auto"/>
                    <w:bottom w:val="single" w:sz="4" w:space="0" w:color="auto"/>
                    <w:right w:val="single" w:sz="4" w:space="0" w:color="auto"/>
                  </w:tcBorders>
                </w:tcPr>
                <w:p w14:paraId="6C485644"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E225821" w14:textId="77777777" w:rsidR="00AF1A24" w:rsidRPr="00AF1A24" w:rsidRDefault="00AF1A24" w:rsidP="00AF1A24">
                  <w:pPr>
                    <w:keepNext/>
                    <w:keepLines/>
                    <w:overflowPunct w:val="0"/>
                    <w:autoSpaceDE w:val="0"/>
                    <w:autoSpaceDN w:val="0"/>
                    <w:adjustRightInd w:val="0"/>
                    <w:spacing w:after="0"/>
                    <w:jc w:val="center"/>
                    <w:textAlignment w:val="baseline"/>
                    <w:rPr>
                      <w:rFonts w:ascii="Arial" w:hAnsi="Arial"/>
                      <w:sz w:val="16"/>
                      <w:lang w:eastAsia="sv-SE"/>
                    </w:rPr>
                  </w:pPr>
                  <w:r w:rsidRPr="00AF1A24">
                    <w:rPr>
                      <w:rFonts w:ascii="Arial" w:hAnsi="Arial"/>
                      <w:sz w:val="16"/>
                      <w:lang w:eastAsia="sv-SE"/>
                    </w:rPr>
                    <w:t>SRB1</w:t>
                  </w:r>
                </w:p>
              </w:tc>
              <w:tc>
                <w:tcPr>
                  <w:tcW w:w="992" w:type="dxa"/>
                  <w:gridSpan w:val="2"/>
                  <w:tcBorders>
                    <w:top w:val="single" w:sz="4" w:space="0" w:color="auto"/>
                    <w:left w:val="single" w:sz="4" w:space="0" w:color="auto"/>
                    <w:bottom w:val="single" w:sz="4" w:space="0" w:color="auto"/>
                    <w:right w:val="single" w:sz="4" w:space="0" w:color="auto"/>
                  </w:tcBorders>
                  <w:hideMark/>
                </w:tcPr>
                <w:p w14:paraId="769BB357" w14:textId="77777777" w:rsidR="00AF1A24" w:rsidRPr="00AF1A24" w:rsidRDefault="00AF1A24" w:rsidP="00AF1A24">
                  <w:pPr>
                    <w:keepNext/>
                    <w:keepLines/>
                    <w:overflowPunct w:val="0"/>
                    <w:autoSpaceDE w:val="0"/>
                    <w:autoSpaceDN w:val="0"/>
                    <w:adjustRightInd w:val="0"/>
                    <w:spacing w:after="0"/>
                    <w:jc w:val="center"/>
                    <w:textAlignment w:val="baseline"/>
                    <w:rPr>
                      <w:rFonts w:ascii="Arial" w:hAnsi="Arial"/>
                      <w:sz w:val="16"/>
                      <w:lang w:eastAsia="sv-SE"/>
                    </w:rPr>
                  </w:pPr>
                  <w:r w:rsidRPr="00AF1A24">
                    <w:rPr>
                      <w:rFonts w:ascii="Arial" w:hAnsi="Arial"/>
                      <w:sz w:val="16"/>
                      <w:lang w:eastAsia="sv-SE"/>
                    </w:rPr>
                    <w:t>SRB2</w:t>
                  </w:r>
                </w:p>
              </w:tc>
              <w:tc>
                <w:tcPr>
                  <w:tcW w:w="992" w:type="dxa"/>
                  <w:tcBorders>
                    <w:top w:val="single" w:sz="4" w:space="0" w:color="auto"/>
                    <w:left w:val="single" w:sz="4" w:space="0" w:color="auto"/>
                    <w:bottom w:val="single" w:sz="4" w:space="0" w:color="auto"/>
                    <w:right w:val="single" w:sz="4" w:space="0" w:color="auto"/>
                  </w:tcBorders>
                  <w:hideMark/>
                </w:tcPr>
                <w:p w14:paraId="4E3C0A23" w14:textId="77777777" w:rsidR="00AF1A24" w:rsidRPr="00AF1A24" w:rsidRDefault="00AF1A24" w:rsidP="00AF1A24">
                  <w:pPr>
                    <w:keepNext/>
                    <w:keepLines/>
                    <w:overflowPunct w:val="0"/>
                    <w:autoSpaceDE w:val="0"/>
                    <w:autoSpaceDN w:val="0"/>
                    <w:adjustRightInd w:val="0"/>
                    <w:spacing w:after="0"/>
                    <w:jc w:val="center"/>
                    <w:textAlignment w:val="baseline"/>
                    <w:rPr>
                      <w:rFonts w:ascii="Arial" w:hAnsi="Arial"/>
                      <w:sz w:val="16"/>
                      <w:lang w:eastAsia="sv-SE"/>
                    </w:rPr>
                  </w:pPr>
                  <w:r w:rsidRPr="00AF1A24">
                    <w:rPr>
                      <w:rFonts w:ascii="Arial" w:hAnsi="Arial"/>
                      <w:sz w:val="16"/>
                      <w:lang w:eastAsia="sv-SE"/>
                    </w:rPr>
                    <w:t>SRB3</w:t>
                  </w:r>
                </w:p>
              </w:tc>
              <w:tc>
                <w:tcPr>
                  <w:tcW w:w="1792" w:type="dxa"/>
                  <w:tcBorders>
                    <w:top w:val="single" w:sz="4" w:space="0" w:color="auto"/>
                    <w:left w:val="single" w:sz="4" w:space="0" w:color="auto"/>
                    <w:bottom w:val="single" w:sz="4" w:space="0" w:color="auto"/>
                    <w:right w:val="single" w:sz="4" w:space="0" w:color="auto"/>
                  </w:tcBorders>
                </w:tcPr>
                <w:p w14:paraId="705DD287"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5A6281DF"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p>
              </w:tc>
            </w:tr>
            <w:tr w:rsidR="00AF1A24" w:rsidRPr="00AF1A24" w14:paraId="281FADFE" w14:textId="77777777" w:rsidTr="00396B14">
              <w:trPr>
                <w:tblHeader/>
              </w:trPr>
              <w:tc>
                <w:tcPr>
                  <w:tcW w:w="2268" w:type="dxa"/>
                  <w:tcBorders>
                    <w:top w:val="single" w:sz="4" w:space="0" w:color="auto"/>
                    <w:left w:val="single" w:sz="4" w:space="0" w:color="auto"/>
                    <w:bottom w:val="single" w:sz="4" w:space="0" w:color="auto"/>
                    <w:right w:val="single" w:sz="4" w:space="0" w:color="auto"/>
                  </w:tcBorders>
                  <w:hideMark/>
                </w:tcPr>
                <w:p w14:paraId="4C34D100"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r w:rsidRPr="00AF1A24">
                    <w:rPr>
                      <w:rFonts w:ascii="Arial" w:hAnsi="Arial"/>
                      <w:i/>
                      <w:sz w:val="18"/>
                      <w:lang w:eastAsia="sv-SE"/>
                    </w:rPr>
                    <w:t>PDCP-Config</w:t>
                  </w:r>
                </w:p>
                <w:p w14:paraId="2142C87D"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r w:rsidRPr="00AF1A24">
                    <w:rPr>
                      <w:rFonts w:ascii="Arial" w:hAnsi="Arial"/>
                      <w:i/>
                      <w:sz w:val="18"/>
                      <w:lang w:eastAsia="sv-SE"/>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1A1234EF"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p>
                <w:p w14:paraId="47858047"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infinity</w:t>
                  </w:r>
                </w:p>
              </w:tc>
              <w:tc>
                <w:tcPr>
                  <w:tcW w:w="1792" w:type="dxa"/>
                  <w:tcBorders>
                    <w:top w:val="single" w:sz="4" w:space="0" w:color="auto"/>
                    <w:left w:val="single" w:sz="4" w:space="0" w:color="auto"/>
                    <w:bottom w:val="single" w:sz="4" w:space="0" w:color="auto"/>
                    <w:right w:val="single" w:sz="4" w:space="0" w:color="auto"/>
                  </w:tcBorders>
                </w:tcPr>
                <w:p w14:paraId="6796FA42"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p>
              </w:tc>
              <w:tc>
                <w:tcPr>
                  <w:tcW w:w="757" w:type="dxa"/>
                  <w:tcBorders>
                    <w:top w:val="single" w:sz="4" w:space="0" w:color="auto"/>
                    <w:left w:val="single" w:sz="4" w:space="0" w:color="auto"/>
                    <w:bottom w:val="single" w:sz="4" w:space="0" w:color="auto"/>
                    <w:right w:val="single" w:sz="4" w:space="0" w:color="auto"/>
                  </w:tcBorders>
                </w:tcPr>
                <w:p w14:paraId="260BA758"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p>
              </w:tc>
            </w:tr>
            <w:tr w:rsidR="00AF1A24" w:rsidRPr="00AF1A24" w14:paraId="02D9741B"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6262A6A3"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i/>
                      <w:sz w:val="18"/>
                      <w:lang w:eastAsia="en-GB"/>
                    </w:rPr>
                    <w:t>RLC-Config</w:t>
                  </w:r>
                  <w:r w:rsidRPr="00AF1A24">
                    <w:rPr>
                      <w:rFonts w:ascii="Arial" w:hAnsi="Arial"/>
                      <w:sz w:val="18"/>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7D9FB259"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7289F930"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229A631"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2175EC50"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6B47DC2A"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ul-RLC-Config</w:t>
                  </w:r>
                </w:p>
                <w:p w14:paraId="3ED6257B"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w:t>
                  </w:r>
                  <w:proofErr w:type="spellStart"/>
                  <w:r w:rsidRPr="00AF1A24">
                    <w:rPr>
                      <w:rFonts w:ascii="Arial" w:hAnsi="Arial"/>
                      <w:i/>
                      <w:sz w:val="18"/>
                      <w:lang w:eastAsia="en-GB"/>
                    </w:rPr>
                    <w:t>sn-FieldLength</w:t>
                  </w:r>
                  <w:proofErr w:type="spellEnd"/>
                </w:p>
                <w:p w14:paraId="3868B195"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&gt;t-</w:t>
                  </w:r>
                  <w:proofErr w:type="spellStart"/>
                  <w:r w:rsidRPr="00AF1A24">
                    <w:rPr>
                      <w:rFonts w:ascii="Arial" w:hAnsi="Arial"/>
                      <w:i/>
                      <w:sz w:val="18"/>
                      <w:lang w:eastAsia="en-GB"/>
                    </w:rPr>
                    <w:t>PollRetransmit</w:t>
                  </w:r>
                  <w:proofErr w:type="spellEnd"/>
                </w:p>
                <w:p w14:paraId="23716910"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w:t>
                  </w:r>
                  <w:proofErr w:type="spellStart"/>
                  <w:r w:rsidRPr="00AF1A24">
                    <w:rPr>
                      <w:rFonts w:ascii="Arial" w:hAnsi="Arial"/>
                      <w:i/>
                      <w:sz w:val="18"/>
                      <w:lang w:eastAsia="en-GB"/>
                    </w:rPr>
                    <w:t>pollPDU</w:t>
                  </w:r>
                  <w:proofErr w:type="spellEnd"/>
                </w:p>
                <w:p w14:paraId="50D84CAC"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w:t>
                  </w:r>
                  <w:proofErr w:type="spellStart"/>
                  <w:r w:rsidRPr="00AF1A24">
                    <w:rPr>
                      <w:rFonts w:ascii="Arial" w:hAnsi="Arial"/>
                      <w:i/>
                      <w:sz w:val="18"/>
                      <w:lang w:eastAsia="en-GB"/>
                    </w:rPr>
                    <w:t>pollByte</w:t>
                  </w:r>
                  <w:proofErr w:type="spellEnd"/>
                </w:p>
                <w:p w14:paraId="150255BA"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w:t>
                  </w:r>
                  <w:proofErr w:type="spellStart"/>
                  <w:r w:rsidRPr="00AF1A24">
                    <w:rPr>
                      <w:rFonts w:ascii="Arial" w:hAnsi="Arial"/>
                      <w:i/>
                      <w:sz w:val="18"/>
                      <w:lang w:eastAsia="en-GB"/>
                    </w:rPr>
                    <w:t>maxRetxThreshold</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14:paraId="159F81FC"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p w14:paraId="234A69FB"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size12</w:t>
                  </w:r>
                </w:p>
                <w:p w14:paraId="78D075F5"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ms45</w:t>
                  </w:r>
                </w:p>
                <w:p w14:paraId="704A258C"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infinity</w:t>
                  </w:r>
                </w:p>
                <w:p w14:paraId="678F5B47"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infinity</w:t>
                  </w:r>
                </w:p>
                <w:p w14:paraId="01AD9088"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en-GB"/>
                    </w:rPr>
                    <w:t>t</w:t>
                  </w:r>
                  <w:r w:rsidRPr="00AF1A24">
                    <w:rPr>
                      <w:rFonts w:ascii="Arial" w:hAnsi="Arial"/>
                      <w:sz w:val="18"/>
                      <w:lang w:eastAsia="sv-SE"/>
                    </w:rPr>
                    <w:t>8</w:t>
                  </w:r>
                </w:p>
              </w:tc>
              <w:tc>
                <w:tcPr>
                  <w:tcW w:w="1792" w:type="dxa"/>
                  <w:tcBorders>
                    <w:top w:val="single" w:sz="4" w:space="0" w:color="auto"/>
                    <w:left w:val="single" w:sz="4" w:space="0" w:color="auto"/>
                    <w:bottom w:val="single" w:sz="4" w:space="0" w:color="auto"/>
                    <w:right w:val="single" w:sz="4" w:space="0" w:color="auto"/>
                  </w:tcBorders>
                </w:tcPr>
                <w:p w14:paraId="7A8E6DCC"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45171463"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00A881DD"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43F78471"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dl-RLC-Config</w:t>
                  </w:r>
                </w:p>
                <w:p w14:paraId="09A0B28E"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w:t>
                  </w:r>
                  <w:proofErr w:type="spellStart"/>
                  <w:r w:rsidRPr="00AF1A24">
                    <w:rPr>
                      <w:rFonts w:ascii="Arial" w:hAnsi="Arial"/>
                      <w:i/>
                      <w:sz w:val="18"/>
                      <w:lang w:eastAsia="en-GB"/>
                    </w:rPr>
                    <w:t>sn-FieldLength</w:t>
                  </w:r>
                  <w:proofErr w:type="spellEnd"/>
                </w:p>
                <w:p w14:paraId="74EE9A58"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&gt;t-Reassembly</w:t>
                  </w:r>
                </w:p>
                <w:p w14:paraId="00A41AFB"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&gt;t-</w:t>
                  </w:r>
                  <w:proofErr w:type="spellStart"/>
                  <w:r w:rsidRPr="00AF1A24">
                    <w:rPr>
                      <w:rFonts w:ascii="Arial" w:hAnsi="Arial"/>
                      <w:i/>
                      <w:sz w:val="18"/>
                      <w:lang w:eastAsia="en-GB"/>
                    </w:rPr>
                    <w:t>StatusProhibit</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14:paraId="32ABD026"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p w14:paraId="045D07CB"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size12</w:t>
                  </w:r>
                </w:p>
                <w:p w14:paraId="0000A864"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ms</w:t>
                  </w:r>
                  <w:r w:rsidRPr="00AF1A24">
                    <w:rPr>
                      <w:rFonts w:ascii="Arial" w:eastAsia="Yu Mincho" w:hAnsi="Arial"/>
                      <w:sz w:val="18"/>
                      <w:lang w:eastAsia="sv-SE"/>
                    </w:rPr>
                    <w:t>35</w:t>
                  </w:r>
                </w:p>
                <w:p w14:paraId="3448B18C"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63D0264E"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435A7788"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035DBC1D"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5B8AAC83"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proofErr w:type="spellStart"/>
                  <w:r w:rsidRPr="00AF1A24">
                    <w:rPr>
                      <w:rFonts w:ascii="Arial" w:hAnsi="Arial"/>
                      <w:i/>
                      <w:sz w:val="18"/>
                      <w:lang w:eastAsia="sv-SE"/>
                    </w:rPr>
                    <w:t>logicalChannelIdentity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2090464"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1</w:t>
                  </w:r>
                </w:p>
              </w:tc>
              <w:tc>
                <w:tcPr>
                  <w:tcW w:w="944" w:type="dxa"/>
                  <w:tcBorders>
                    <w:top w:val="single" w:sz="4" w:space="0" w:color="auto"/>
                    <w:left w:val="single" w:sz="4" w:space="0" w:color="auto"/>
                    <w:bottom w:val="single" w:sz="4" w:space="0" w:color="auto"/>
                    <w:right w:val="single" w:sz="4" w:space="0" w:color="auto"/>
                  </w:tcBorders>
                  <w:hideMark/>
                </w:tcPr>
                <w:p w14:paraId="5EFA5DB9"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2</w:t>
                  </w:r>
                </w:p>
              </w:tc>
              <w:tc>
                <w:tcPr>
                  <w:tcW w:w="1040" w:type="dxa"/>
                  <w:gridSpan w:val="2"/>
                  <w:tcBorders>
                    <w:top w:val="single" w:sz="4" w:space="0" w:color="auto"/>
                    <w:left w:val="single" w:sz="4" w:space="0" w:color="auto"/>
                    <w:bottom w:val="single" w:sz="4" w:space="0" w:color="auto"/>
                    <w:right w:val="single" w:sz="4" w:space="0" w:color="auto"/>
                  </w:tcBorders>
                  <w:hideMark/>
                </w:tcPr>
                <w:p w14:paraId="45EA638A"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3</w:t>
                  </w:r>
                </w:p>
              </w:tc>
              <w:tc>
                <w:tcPr>
                  <w:tcW w:w="1792" w:type="dxa"/>
                  <w:tcBorders>
                    <w:top w:val="single" w:sz="4" w:space="0" w:color="auto"/>
                    <w:left w:val="single" w:sz="4" w:space="0" w:color="auto"/>
                    <w:bottom w:val="single" w:sz="4" w:space="0" w:color="auto"/>
                    <w:right w:val="single" w:sz="4" w:space="0" w:color="auto"/>
                  </w:tcBorders>
                </w:tcPr>
                <w:p w14:paraId="4BF97D19"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D410B5D"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1C8E8BC2"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3E066965"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proofErr w:type="spellStart"/>
                  <w:r w:rsidRPr="00AF1A24">
                    <w:rPr>
                      <w:rFonts w:ascii="Arial" w:hAnsi="Arial"/>
                      <w:i/>
                      <w:sz w:val="18"/>
                      <w:lang w:eastAsia="en-GB"/>
                    </w:rPr>
                    <w:t>LogicalChannelConfig</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14:paraId="17061EC3"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1792" w:type="dxa"/>
                  <w:tcBorders>
                    <w:top w:val="single" w:sz="4" w:space="0" w:color="auto"/>
                    <w:left w:val="single" w:sz="4" w:space="0" w:color="auto"/>
                    <w:bottom w:val="single" w:sz="4" w:space="0" w:color="auto"/>
                    <w:right w:val="single" w:sz="4" w:space="0" w:color="auto"/>
                  </w:tcBorders>
                </w:tcPr>
                <w:p w14:paraId="60D6D4DD"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2CB0FAB4"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164F4665"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23944614"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0A513460"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1</w:t>
                  </w:r>
                </w:p>
              </w:tc>
              <w:tc>
                <w:tcPr>
                  <w:tcW w:w="944" w:type="dxa"/>
                  <w:tcBorders>
                    <w:top w:val="single" w:sz="4" w:space="0" w:color="auto"/>
                    <w:left w:val="single" w:sz="4" w:space="0" w:color="auto"/>
                    <w:bottom w:val="single" w:sz="4" w:space="0" w:color="auto"/>
                    <w:right w:val="single" w:sz="4" w:space="0" w:color="auto"/>
                  </w:tcBorders>
                  <w:hideMark/>
                </w:tcPr>
                <w:p w14:paraId="685308CF"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3</w:t>
                  </w:r>
                </w:p>
              </w:tc>
              <w:tc>
                <w:tcPr>
                  <w:tcW w:w="1040" w:type="dxa"/>
                  <w:gridSpan w:val="2"/>
                  <w:tcBorders>
                    <w:top w:val="single" w:sz="4" w:space="0" w:color="auto"/>
                    <w:left w:val="single" w:sz="4" w:space="0" w:color="auto"/>
                    <w:bottom w:val="single" w:sz="4" w:space="0" w:color="auto"/>
                    <w:right w:val="single" w:sz="4" w:space="0" w:color="auto"/>
                  </w:tcBorders>
                  <w:hideMark/>
                </w:tcPr>
                <w:p w14:paraId="5485E768"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1</w:t>
                  </w:r>
                </w:p>
              </w:tc>
              <w:tc>
                <w:tcPr>
                  <w:tcW w:w="1792" w:type="dxa"/>
                  <w:tcBorders>
                    <w:top w:val="single" w:sz="4" w:space="0" w:color="auto"/>
                    <w:left w:val="single" w:sz="4" w:space="0" w:color="auto"/>
                    <w:bottom w:val="single" w:sz="4" w:space="0" w:color="auto"/>
                    <w:right w:val="single" w:sz="4" w:space="0" w:color="auto"/>
                  </w:tcBorders>
                  <w:hideMark/>
                </w:tcPr>
                <w:p w14:paraId="300B6470" w14:textId="77777777" w:rsidR="00AF1A24" w:rsidRPr="00AF1A24" w:rsidRDefault="00AF1A24" w:rsidP="00AF1A24">
                  <w:pPr>
                    <w:overflowPunct w:val="0"/>
                    <w:autoSpaceDE w:val="0"/>
                    <w:autoSpaceDN w:val="0"/>
                    <w:adjustRightInd w:val="0"/>
                    <w:textAlignment w:val="baseline"/>
                    <w:rPr>
                      <w:lang w:eastAsia="sv-SE"/>
                    </w:rPr>
                  </w:pPr>
                </w:p>
              </w:tc>
              <w:tc>
                <w:tcPr>
                  <w:tcW w:w="757" w:type="dxa"/>
                  <w:tcBorders>
                    <w:top w:val="single" w:sz="4" w:space="0" w:color="auto"/>
                    <w:left w:val="single" w:sz="4" w:space="0" w:color="auto"/>
                    <w:bottom w:val="single" w:sz="4" w:space="0" w:color="auto"/>
                    <w:right w:val="single" w:sz="4" w:space="0" w:color="auto"/>
                  </w:tcBorders>
                </w:tcPr>
                <w:p w14:paraId="4018E67E"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57E7FE28"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7A4C4344"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w:t>
                  </w:r>
                  <w:proofErr w:type="spellStart"/>
                  <w:r w:rsidRPr="00AF1A24">
                    <w:rPr>
                      <w:rFonts w:ascii="Arial" w:hAnsi="Arial"/>
                      <w:i/>
                      <w:sz w:val="18"/>
                      <w:lang w:eastAsia="en-GB"/>
                    </w:rPr>
                    <w:t>prioritisedBitRate</w:t>
                  </w:r>
                  <w:proofErr w:type="spellEnd"/>
                </w:p>
              </w:tc>
              <w:tc>
                <w:tcPr>
                  <w:tcW w:w="3118" w:type="dxa"/>
                  <w:gridSpan w:val="4"/>
                  <w:tcBorders>
                    <w:top w:val="single" w:sz="4" w:space="0" w:color="auto"/>
                    <w:left w:val="single" w:sz="4" w:space="0" w:color="auto"/>
                    <w:bottom w:val="single" w:sz="4" w:space="0" w:color="auto"/>
                    <w:right w:val="single" w:sz="4" w:space="0" w:color="auto"/>
                  </w:tcBorders>
                  <w:hideMark/>
                </w:tcPr>
                <w:p w14:paraId="5ABD78D8"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31D1DB19"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5ACF25BF"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250653DB"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7A0E2257"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w:t>
                  </w:r>
                  <w:proofErr w:type="spellStart"/>
                  <w:r w:rsidRPr="00AF1A24">
                    <w:rPr>
                      <w:rFonts w:ascii="Arial" w:hAnsi="Arial"/>
                      <w:i/>
                      <w:sz w:val="18"/>
                      <w:lang w:eastAsia="en-GB"/>
                    </w:rPr>
                    <w:t>logicalChannelGroup</w:t>
                  </w:r>
                  <w:proofErr w:type="spellEnd"/>
                </w:p>
              </w:tc>
              <w:tc>
                <w:tcPr>
                  <w:tcW w:w="3118" w:type="dxa"/>
                  <w:gridSpan w:val="4"/>
                  <w:tcBorders>
                    <w:top w:val="single" w:sz="4" w:space="0" w:color="auto"/>
                    <w:left w:val="single" w:sz="4" w:space="0" w:color="auto"/>
                    <w:bottom w:val="single" w:sz="4" w:space="0" w:color="auto"/>
                    <w:right w:val="single" w:sz="4" w:space="0" w:color="auto"/>
                  </w:tcBorders>
                  <w:hideMark/>
                </w:tcPr>
                <w:p w14:paraId="0B484D55"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0</w:t>
                  </w:r>
                </w:p>
              </w:tc>
              <w:tc>
                <w:tcPr>
                  <w:tcW w:w="1792" w:type="dxa"/>
                  <w:tcBorders>
                    <w:top w:val="single" w:sz="4" w:space="0" w:color="auto"/>
                    <w:left w:val="single" w:sz="4" w:space="0" w:color="auto"/>
                    <w:bottom w:val="single" w:sz="4" w:space="0" w:color="auto"/>
                    <w:right w:val="single" w:sz="4" w:space="0" w:color="auto"/>
                  </w:tcBorders>
                </w:tcPr>
                <w:p w14:paraId="6FCB74BE"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6B4A8612"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bl>
          <w:p w14:paraId="7ECBC103" w14:textId="77777777" w:rsidR="00AF1A24" w:rsidRPr="00AF1A24" w:rsidRDefault="00AF1A24" w:rsidP="00AF1A24">
            <w:pPr>
              <w:overflowPunct w:val="0"/>
              <w:autoSpaceDE w:val="0"/>
              <w:autoSpaceDN w:val="0"/>
              <w:adjustRightInd w:val="0"/>
              <w:textAlignment w:val="baseline"/>
              <w:rPr>
                <w:lang w:eastAsia="ja-JP"/>
              </w:rPr>
            </w:pPr>
          </w:p>
          <w:p w14:paraId="3F8AAE4C" w14:textId="77777777" w:rsidR="00BB313E" w:rsidRPr="00BB313E" w:rsidRDefault="00BB313E" w:rsidP="00BB313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BB313E">
              <w:rPr>
                <w:rFonts w:ascii="Arial" w:hAnsi="Arial"/>
                <w:sz w:val="28"/>
                <w:lang w:eastAsia="ja-JP"/>
              </w:rPr>
              <w:t>9.2.2</w:t>
            </w:r>
            <w:r w:rsidRPr="00BB313E">
              <w:rPr>
                <w:rFonts w:ascii="Arial" w:hAnsi="Arial"/>
                <w:sz w:val="28"/>
                <w:lang w:eastAsia="ja-JP"/>
              </w:rPr>
              <w:tab/>
              <w:t>Default MAC Cell Group configuration</w:t>
            </w:r>
            <w:bookmarkEnd w:id="3"/>
            <w:bookmarkEnd w:id="4"/>
            <w:bookmarkEnd w:id="5"/>
          </w:p>
          <w:p w14:paraId="464D8266" w14:textId="77777777" w:rsidR="00BB313E" w:rsidRPr="00BB313E" w:rsidRDefault="00BB313E" w:rsidP="00BB313E">
            <w:pPr>
              <w:overflowPunct w:val="0"/>
              <w:autoSpaceDE w:val="0"/>
              <w:autoSpaceDN w:val="0"/>
              <w:adjustRightInd w:val="0"/>
              <w:textAlignment w:val="baseline"/>
              <w:rPr>
                <w:rFonts w:eastAsia="SimSun"/>
                <w:lang w:eastAsia="ko-KR"/>
              </w:rPr>
            </w:pPr>
            <w:r w:rsidRPr="00BB313E">
              <w:rPr>
                <w:rFonts w:eastAsia="SimSun"/>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417"/>
              <w:gridCol w:w="2551"/>
              <w:gridCol w:w="708"/>
            </w:tblGrid>
            <w:tr w:rsidR="00BB313E" w:rsidRPr="00BB313E" w14:paraId="6E03D9FD" w14:textId="77777777" w:rsidTr="00396B14">
              <w:trPr>
                <w:tblHeader/>
              </w:trPr>
              <w:tc>
                <w:tcPr>
                  <w:tcW w:w="3260" w:type="dxa"/>
                  <w:tcBorders>
                    <w:top w:val="single" w:sz="4" w:space="0" w:color="auto"/>
                    <w:left w:val="single" w:sz="4" w:space="0" w:color="auto"/>
                    <w:bottom w:val="single" w:sz="4" w:space="0" w:color="auto"/>
                    <w:right w:val="single" w:sz="4" w:space="0" w:color="auto"/>
                  </w:tcBorders>
                  <w:hideMark/>
                </w:tcPr>
                <w:p w14:paraId="26904AB0" w14:textId="77777777" w:rsidR="00BB313E" w:rsidRPr="00BB313E" w:rsidRDefault="00BB313E" w:rsidP="00BB313E">
                  <w:pPr>
                    <w:overflowPunct w:val="0"/>
                    <w:autoSpaceDE w:val="0"/>
                    <w:autoSpaceDN w:val="0"/>
                    <w:adjustRightInd w:val="0"/>
                    <w:spacing w:after="0"/>
                    <w:jc w:val="center"/>
                    <w:textAlignment w:val="baseline"/>
                    <w:rPr>
                      <w:rFonts w:ascii="Arial" w:hAnsi="Arial"/>
                      <w:b/>
                      <w:sz w:val="18"/>
                      <w:lang w:eastAsia="en-GB"/>
                    </w:rPr>
                  </w:pPr>
                  <w:r w:rsidRPr="00BB313E">
                    <w:rPr>
                      <w:rFonts w:ascii="Arial" w:hAnsi="Arial"/>
                      <w:b/>
                      <w:sz w:val="18"/>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088E0E4B" w14:textId="77777777" w:rsidR="00BB313E" w:rsidRPr="00BB313E" w:rsidRDefault="00BB313E" w:rsidP="00BB313E">
                  <w:pPr>
                    <w:overflowPunct w:val="0"/>
                    <w:autoSpaceDE w:val="0"/>
                    <w:autoSpaceDN w:val="0"/>
                    <w:adjustRightInd w:val="0"/>
                    <w:spacing w:after="0"/>
                    <w:jc w:val="center"/>
                    <w:textAlignment w:val="baseline"/>
                    <w:rPr>
                      <w:rFonts w:ascii="Arial" w:hAnsi="Arial"/>
                      <w:b/>
                      <w:sz w:val="18"/>
                      <w:lang w:eastAsia="en-GB"/>
                    </w:rPr>
                  </w:pPr>
                  <w:r w:rsidRPr="00BB313E">
                    <w:rPr>
                      <w:rFonts w:ascii="Arial" w:hAnsi="Arial"/>
                      <w:b/>
                      <w:sz w:val="18"/>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4CC70A3E" w14:textId="77777777" w:rsidR="00BB313E" w:rsidRPr="00BB313E" w:rsidRDefault="00BB313E" w:rsidP="00BB313E">
                  <w:pPr>
                    <w:overflowPunct w:val="0"/>
                    <w:autoSpaceDE w:val="0"/>
                    <w:autoSpaceDN w:val="0"/>
                    <w:adjustRightInd w:val="0"/>
                    <w:spacing w:after="0"/>
                    <w:jc w:val="center"/>
                    <w:textAlignment w:val="baseline"/>
                    <w:rPr>
                      <w:rFonts w:ascii="Arial" w:hAnsi="Arial"/>
                      <w:b/>
                      <w:sz w:val="18"/>
                      <w:lang w:eastAsia="en-GB"/>
                    </w:rPr>
                  </w:pPr>
                  <w:r w:rsidRPr="00BB313E">
                    <w:rPr>
                      <w:rFonts w:ascii="Arial"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AE0D2CE" w14:textId="77777777" w:rsidR="00BB313E" w:rsidRPr="00BB313E" w:rsidRDefault="00BB313E" w:rsidP="00BB313E">
                  <w:pPr>
                    <w:overflowPunct w:val="0"/>
                    <w:autoSpaceDE w:val="0"/>
                    <w:autoSpaceDN w:val="0"/>
                    <w:adjustRightInd w:val="0"/>
                    <w:spacing w:after="0"/>
                    <w:jc w:val="center"/>
                    <w:textAlignment w:val="baseline"/>
                    <w:rPr>
                      <w:rFonts w:ascii="Arial" w:hAnsi="Arial"/>
                      <w:b/>
                      <w:sz w:val="18"/>
                      <w:lang w:eastAsia="en-GB"/>
                    </w:rPr>
                  </w:pPr>
                  <w:r w:rsidRPr="00BB313E">
                    <w:rPr>
                      <w:rFonts w:ascii="Arial" w:hAnsi="Arial"/>
                      <w:b/>
                      <w:sz w:val="18"/>
                      <w:lang w:eastAsia="en-GB"/>
                    </w:rPr>
                    <w:t>Ver</w:t>
                  </w:r>
                </w:p>
              </w:tc>
            </w:tr>
            <w:tr w:rsidR="00BB313E" w:rsidRPr="00BB313E" w14:paraId="5A03E13E"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24CE9EBF"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r w:rsidRPr="00BB313E">
                    <w:rPr>
                      <w:rFonts w:ascii="Arial" w:hAnsi="Arial"/>
                      <w:sz w:val="18"/>
                      <w:lang w:eastAsia="en-GB"/>
                    </w:rPr>
                    <w:t xml:space="preserve">MAC </w:t>
                  </w:r>
                  <w:r w:rsidRPr="00BB313E">
                    <w:rPr>
                      <w:rFonts w:ascii="Arial" w:hAnsi="Arial"/>
                      <w:sz w:val="18"/>
                      <w:lang w:eastAsia="sv-SE"/>
                    </w:rPr>
                    <w:t>Cell Group</w:t>
                  </w:r>
                  <w:r w:rsidRPr="00BB313E">
                    <w:rPr>
                      <w:rFonts w:ascii="Arial" w:hAnsi="Arial"/>
                      <w:sz w:val="18"/>
                      <w:lang w:eastAsia="en-GB"/>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25ACC527"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701432BF"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1EBB176"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4763F92A"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61E4FE82"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proofErr w:type="spellStart"/>
                  <w:r w:rsidRPr="00BB313E">
                    <w:rPr>
                      <w:rFonts w:ascii="Arial" w:hAnsi="Arial"/>
                      <w:i/>
                      <w:sz w:val="18"/>
                      <w:lang w:eastAsia="en-GB"/>
                    </w:rPr>
                    <w:t>bsr</w:t>
                  </w:r>
                  <w:proofErr w:type="spellEnd"/>
                  <w:r w:rsidRPr="00BB313E">
                    <w:rPr>
                      <w:rFonts w:ascii="Arial" w:hAnsi="Arial"/>
                      <w:i/>
                      <w:sz w:val="18"/>
                      <w:lang w:eastAsia="en-GB"/>
                    </w:rPr>
                    <w:t>-Config</w:t>
                  </w:r>
                </w:p>
              </w:tc>
              <w:tc>
                <w:tcPr>
                  <w:tcW w:w="1418" w:type="dxa"/>
                  <w:tcBorders>
                    <w:top w:val="single" w:sz="4" w:space="0" w:color="auto"/>
                    <w:left w:val="single" w:sz="4" w:space="0" w:color="auto"/>
                    <w:bottom w:val="single" w:sz="4" w:space="0" w:color="auto"/>
                    <w:right w:val="single" w:sz="4" w:space="0" w:color="auto"/>
                  </w:tcBorders>
                </w:tcPr>
                <w:p w14:paraId="2904AC27"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p>
              </w:tc>
              <w:tc>
                <w:tcPr>
                  <w:tcW w:w="2552" w:type="dxa"/>
                  <w:tcBorders>
                    <w:top w:val="single" w:sz="4" w:space="0" w:color="auto"/>
                    <w:left w:val="single" w:sz="4" w:space="0" w:color="auto"/>
                    <w:bottom w:val="single" w:sz="4" w:space="0" w:color="auto"/>
                    <w:right w:val="single" w:sz="4" w:space="0" w:color="auto"/>
                  </w:tcBorders>
                </w:tcPr>
                <w:p w14:paraId="334D0F5D"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E53294B"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476C4C05"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615A8EB5"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r w:rsidRPr="00BB313E">
                    <w:rPr>
                      <w:rFonts w:ascii="Arial" w:hAnsi="Arial"/>
                      <w:i/>
                      <w:sz w:val="18"/>
                      <w:lang w:eastAsia="sv-SE"/>
                    </w:rPr>
                    <w:t>&gt;</w:t>
                  </w:r>
                  <w:proofErr w:type="spellStart"/>
                  <w:r w:rsidRPr="00BB313E">
                    <w:rPr>
                      <w:rFonts w:ascii="Arial" w:hAnsi="Arial"/>
                      <w:i/>
                      <w:sz w:val="18"/>
                      <w:lang w:eastAsia="en-GB"/>
                    </w:rPr>
                    <w:t>periodicBSR</w:t>
                  </w:r>
                  <w:proofErr w:type="spellEnd"/>
                  <w:r w:rsidRPr="00BB313E">
                    <w:rPr>
                      <w:rFonts w:ascii="Arial" w:hAnsi="Arial"/>
                      <w:i/>
                      <w:sz w:val="18"/>
                      <w:lang w:eastAsia="en-GB"/>
                    </w:rPr>
                    <w:t>-Timer</w:t>
                  </w:r>
                </w:p>
              </w:tc>
              <w:tc>
                <w:tcPr>
                  <w:tcW w:w="1418" w:type="dxa"/>
                  <w:tcBorders>
                    <w:top w:val="single" w:sz="4" w:space="0" w:color="auto"/>
                    <w:left w:val="single" w:sz="4" w:space="0" w:color="auto"/>
                    <w:bottom w:val="single" w:sz="4" w:space="0" w:color="auto"/>
                    <w:right w:val="single" w:sz="4" w:space="0" w:color="auto"/>
                  </w:tcBorders>
                  <w:hideMark/>
                </w:tcPr>
                <w:p w14:paraId="6A219669"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r w:rsidRPr="00BB313E">
                    <w:rPr>
                      <w:rFonts w:ascii="Arial" w:hAnsi="Arial"/>
                      <w:sz w:val="18"/>
                      <w:lang w:eastAsia="en-GB"/>
                    </w:rPr>
                    <w:t>sf10</w:t>
                  </w:r>
                </w:p>
              </w:tc>
              <w:tc>
                <w:tcPr>
                  <w:tcW w:w="2552" w:type="dxa"/>
                  <w:tcBorders>
                    <w:top w:val="single" w:sz="4" w:space="0" w:color="auto"/>
                    <w:left w:val="single" w:sz="4" w:space="0" w:color="auto"/>
                    <w:bottom w:val="single" w:sz="4" w:space="0" w:color="auto"/>
                    <w:right w:val="single" w:sz="4" w:space="0" w:color="auto"/>
                  </w:tcBorders>
                </w:tcPr>
                <w:p w14:paraId="25942020"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EA12745"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7B2C029E"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20AD405F"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r w:rsidRPr="00BB313E">
                    <w:rPr>
                      <w:rFonts w:ascii="Arial" w:hAnsi="Arial"/>
                      <w:i/>
                      <w:sz w:val="18"/>
                      <w:lang w:eastAsia="sv-SE"/>
                    </w:rPr>
                    <w:t>&gt;</w:t>
                  </w:r>
                  <w:proofErr w:type="spellStart"/>
                  <w:r w:rsidRPr="00BB313E">
                    <w:rPr>
                      <w:rFonts w:ascii="Arial" w:hAnsi="Arial"/>
                      <w:i/>
                      <w:sz w:val="18"/>
                      <w:lang w:eastAsia="en-GB"/>
                    </w:rPr>
                    <w:t>retxBSR</w:t>
                  </w:r>
                  <w:proofErr w:type="spellEnd"/>
                  <w:r w:rsidRPr="00BB313E">
                    <w:rPr>
                      <w:rFonts w:ascii="Arial" w:hAnsi="Arial"/>
                      <w:i/>
                      <w:sz w:val="18"/>
                      <w:lang w:eastAsia="en-GB"/>
                    </w:rPr>
                    <w:t>-Timer</w:t>
                  </w:r>
                </w:p>
              </w:tc>
              <w:tc>
                <w:tcPr>
                  <w:tcW w:w="1418" w:type="dxa"/>
                  <w:tcBorders>
                    <w:top w:val="single" w:sz="4" w:space="0" w:color="auto"/>
                    <w:left w:val="single" w:sz="4" w:space="0" w:color="auto"/>
                    <w:bottom w:val="single" w:sz="4" w:space="0" w:color="auto"/>
                    <w:right w:val="single" w:sz="4" w:space="0" w:color="auto"/>
                  </w:tcBorders>
                  <w:hideMark/>
                </w:tcPr>
                <w:p w14:paraId="318B4D36"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r w:rsidRPr="00BB313E">
                    <w:rPr>
                      <w:rFonts w:ascii="Arial" w:hAnsi="Arial"/>
                      <w:sz w:val="18"/>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481DDC25"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C9354E1"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79D8CFE4"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626D6128"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proofErr w:type="spellStart"/>
                  <w:r w:rsidRPr="00BB313E">
                    <w:rPr>
                      <w:rFonts w:ascii="Arial" w:hAnsi="Arial"/>
                      <w:i/>
                      <w:sz w:val="18"/>
                      <w:lang w:eastAsia="en-GB"/>
                    </w:rPr>
                    <w:t>phr</w:t>
                  </w:r>
                  <w:proofErr w:type="spellEnd"/>
                  <w:r w:rsidRPr="00BB313E">
                    <w:rPr>
                      <w:rFonts w:ascii="Arial" w:hAnsi="Arial"/>
                      <w:i/>
                      <w:sz w:val="18"/>
                      <w:lang w:eastAsia="en-GB"/>
                    </w:rPr>
                    <w:t>-Config</w:t>
                  </w:r>
                </w:p>
              </w:tc>
              <w:tc>
                <w:tcPr>
                  <w:tcW w:w="1418" w:type="dxa"/>
                  <w:tcBorders>
                    <w:top w:val="single" w:sz="4" w:space="0" w:color="auto"/>
                    <w:left w:val="single" w:sz="4" w:space="0" w:color="auto"/>
                    <w:bottom w:val="single" w:sz="4" w:space="0" w:color="auto"/>
                    <w:right w:val="single" w:sz="4" w:space="0" w:color="auto"/>
                  </w:tcBorders>
                </w:tcPr>
                <w:p w14:paraId="19351BD1"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p>
              </w:tc>
              <w:tc>
                <w:tcPr>
                  <w:tcW w:w="2552" w:type="dxa"/>
                  <w:tcBorders>
                    <w:top w:val="single" w:sz="4" w:space="0" w:color="auto"/>
                    <w:left w:val="single" w:sz="4" w:space="0" w:color="auto"/>
                    <w:bottom w:val="single" w:sz="4" w:space="0" w:color="auto"/>
                    <w:right w:val="single" w:sz="4" w:space="0" w:color="auto"/>
                  </w:tcBorders>
                </w:tcPr>
                <w:p w14:paraId="2578E410"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9D20A10"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33FDDFFD"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0DAC53FE"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r w:rsidRPr="00BB313E">
                    <w:rPr>
                      <w:rFonts w:ascii="Arial" w:hAnsi="Arial"/>
                      <w:i/>
                      <w:sz w:val="18"/>
                      <w:lang w:eastAsia="sv-SE"/>
                    </w:rPr>
                    <w:t>&gt;</w:t>
                  </w:r>
                  <w:proofErr w:type="spellStart"/>
                  <w:r w:rsidRPr="00BB313E">
                    <w:rPr>
                      <w:rFonts w:ascii="Arial" w:hAnsi="Arial"/>
                      <w:i/>
                      <w:sz w:val="18"/>
                      <w:lang w:eastAsia="sv-SE"/>
                    </w:rPr>
                    <w:t>phr-PeriodicTimer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1EFBFC"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r w:rsidRPr="00BB313E">
                    <w:rPr>
                      <w:rFonts w:ascii="Arial" w:hAnsi="Arial"/>
                      <w:sz w:val="18"/>
                      <w:lang w:eastAsia="en-GB"/>
                    </w:rPr>
                    <w:t>sf</w:t>
                  </w:r>
                  <w:r w:rsidRPr="00BB313E">
                    <w:rPr>
                      <w:rFonts w:ascii="Arial" w:hAnsi="Arial"/>
                      <w:sz w:val="18"/>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6AB5BBAD"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8EDC07A"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5EC4DCAC"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2D86B451"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sv-SE"/>
                    </w:rPr>
                  </w:pPr>
                  <w:r w:rsidRPr="00BB313E">
                    <w:rPr>
                      <w:rFonts w:ascii="Arial" w:hAnsi="Arial"/>
                      <w:i/>
                      <w:sz w:val="18"/>
                      <w:lang w:eastAsia="sv-SE"/>
                    </w:rPr>
                    <w:t>&gt;</w:t>
                  </w:r>
                  <w:proofErr w:type="spellStart"/>
                  <w:r w:rsidRPr="00BB313E">
                    <w:rPr>
                      <w:rFonts w:ascii="Arial" w:hAnsi="Arial"/>
                      <w:i/>
                      <w:sz w:val="18"/>
                      <w:lang w:eastAsia="sv-SE"/>
                    </w:rPr>
                    <w:t>phr-ProhibitTimer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C0653D"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r w:rsidRPr="00BB313E">
                    <w:rPr>
                      <w:rFonts w:ascii="Arial" w:hAnsi="Arial"/>
                      <w:sz w:val="18"/>
                      <w:lang w:eastAsia="en-GB"/>
                    </w:rPr>
                    <w:t>sf</w:t>
                  </w:r>
                  <w:r w:rsidRPr="00BB313E">
                    <w:rPr>
                      <w:rFonts w:ascii="Arial" w:hAnsi="Arial"/>
                      <w:sz w:val="18"/>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26F89886"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A000B79"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53F8E379"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4152A9C5"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sv-SE"/>
                    </w:rPr>
                  </w:pPr>
                  <w:r w:rsidRPr="00BB313E">
                    <w:rPr>
                      <w:rFonts w:ascii="Arial" w:hAnsi="Arial"/>
                      <w:i/>
                      <w:sz w:val="18"/>
                      <w:lang w:eastAsia="sv-SE"/>
                    </w:rPr>
                    <w:t>&gt;</w:t>
                  </w:r>
                  <w:proofErr w:type="spellStart"/>
                  <w:r w:rsidRPr="00BB313E">
                    <w:rPr>
                      <w:rFonts w:ascii="Arial" w:hAnsi="Arial"/>
                      <w:i/>
                      <w:sz w:val="18"/>
                      <w:lang w:eastAsia="sv-SE"/>
                    </w:rPr>
                    <w:t>phr</w:t>
                  </w:r>
                  <w:proofErr w:type="spellEnd"/>
                  <w:r w:rsidRPr="00BB313E">
                    <w:rPr>
                      <w:rFonts w:ascii="Arial" w:hAnsi="Arial"/>
                      <w:i/>
                      <w:sz w:val="18"/>
                      <w:lang w:eastAsia="sv-SE"/>
                    </w:rPr>
                    <w:t>-Tx-</w:t>
                  </w:r>
                  <w:proofErr w:type="spellStart"/>
                  <w:r w:rsidRPr="00BB313E">
                    <w:rPr>
                      <w:rFonts w:ascii="Arial" w:hAnsi="Arial"/>
                      <w:i/>
                      <w:sz w:val="18"/>
                      <w:lang w:eastAsia="sv-SE"/>
                    </w:rPr>
                    <w:t>PowerFactorChange</w:t>
                  </w:r>
                  <w:proofErr w:type="spellEnd"/>
                  <w:r w:rsidRPr="00BB313E">
                    <w:rPr>
                      <w:rFonts w:ascii="Arial" w:hAnsi="Arial"/>
                      <w:i/>
                      <w:sz w:val="18"/>
                      <w:lang w:eastAsia="sv-SE"/>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B47CB00"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r w:rsidRPr="00BB313E">
                    <w:rPr>
                      <w:rFonts w:ascii="Arial" w:hAnsi="Arial"/>
                      <w:sz w:val="18"/>
                      <w:lang w:eastAsia="en-GB"/>
                    </w:rPr>
                    <w:t>dB1</w:t>
                  </w:r>
                </w:p>
              </w:tc>
              <w:tc>
                <w:tcPr>
                  <w:tcW w:w="2552" w:type="dxa"/>
                  <w:tcBorders>
                    <w:top w:val="single" w:sz="4" w:space="0" w:color="auto"/>
                    <w:left w:val="single" w:sz="4" w:space="0" w:color="auto"/>
                    <w:bottom w:val="single" w:sz="4" w:space="0" w:color="auto"/>
                    <w:right w:val="single" w:sz="4" w:space="0" w:color="auto"/>
                  </w:tcBorders>
                </w:tcPr>
                <w:p w14:paraId="2C439013"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6FAF0E9"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bl>
          <w:p w14:paraId="4C2BE8E3" w14:textId="77777777" w:rsidR="00BB313E" w:rsidRDefault="00BB313E" w:rsidP="00B7538C"/>
        </w:tc>
      </w:tr>
    </w:tbl>
    <w:p w14:paraId="24B77C52" w14:textId="50CC5269" w:rsidR="00BB313E" w:rsidRDefault="00BB313E" w:rsidP="00B7538C"/>
    <w:p w14:paraId="1471D3C2" w14:textId="53511328" w:rsidR="00D212BB" w:rsidRDefault="00D212BB" w:rsidP="00D212BB">
      <w:pPr>
        <w:pStyle w:val="Heading2"/>
      </w:pPr>
      <w:r>
        <w:t>2.</w:t>
      </w:r>
      <w:r w:rsidR="00E9491C">
        <w:t>2</w:t>
      </w:r>
      <w:r>
        <w:tab/>
      </w:r>
      <w:r w:rsidR="00B269B9">
        <w:t>LCH restrictions</w:t>
      </w:r>
    </w:p>
    <w:p w14:paraId="0496E2F7" w14:textId="677345E0" w:rsidR="000357A2" w:rsidRDefault="000357A2" w:rsidP="00D212BB">
      <w:r>
        <w:t xml:space="preserve">The usage of LCH restrictions could be applied, e.g., in case the NW intends certain DRB(s)/LCH(s) to only utilize the configured CG SDT resources. When the SDT is initiated given data availability in these certain DRB(s) and all other conditions are fulfilled, the procedure goes smoothly until data appears on any of the SDT DRB(s) not allowed to access the configured CG SDT resources. In this case, the SDT DRBs not allowed for the current CG SDT resources are </w:t>
      </w:r>
      <w:proofErr w:type="gramStart"/>
      <w:r>
        <w:t>similar to</w:t>
      </w:r>
      <w:proofErr w:type="gramEnd"/>
      <w:r>
        <w:t xml:space="preserve"> non-SDT DRBs given they cannot be transmitted using the resources available for the CG SDT procedure.</w:t>
      </w:r>
      <w:r w:rsidR="005A392D">
        <w:t xml:space="preserve"> Hence, they should be considered as non-SDT DRBs for the duration of the current SDT procedure.</w:t>
      </w:r>
    </w:p>
    <w:p w14:paraId="3380CBB1" w14:textId="60A6B18F" w:rsidR="000357A2" w:rsidRDefault="000357A2" w:rsidP="00D212BB">
      <w:r>
        <w:rPr>
          <w:b/>
          <w:bCs/>
        </w:rPr>
        <w:t xml:space="preserve">Proposal </w:t>
      </w:r>
      <w:r w:rsidR="00E9491C">
        <w:rPr>
          <w:b/>
          <w:bCs/>
        </w:rPr>
        <w:t>2</w:t>
      </w:r>
      <w:r>
        <w:rPr>
          <w:b/>
          <w:bCs/>
        </w:rPr>
        <w:t xml:space="preserve">: </w:t>
      </w:r>
      <w:r w:rsidRPr="00E9491C">
        <w:t>SDT DRBs that cannot be multiplexed on SDT resources available in the</w:t>
      </w:r>
      <w:r w:rsidR="005A392D" w:rsidRPr="00E9491C">
        <w:t xml:space="preserve"> current</w:t>
      </w:r>
      <w:r w:rsidRPr="00E9491C">
        <w:t xml:space="preserve"> SDT procedure due to LCH restrictions should be considered as non-SDT DRBs</w:t>
      </w:r>
      <w:r w:rsidR="005A392D" w:rsidRPr="00E9491C">
        <w:t xml:space="preserve"> for the duration of the SDT procedure</w:t>
      </w:r>
      <w:r w:rsidRPr="00E9491C">
        <w:t>.</w:t>
      </w:r>
    </w:p>
    <w:p w14:paraId="75F6B621" w14:textId="04CFA165" w:rsidR="00E9491C" w:rsidRDefault="00E9491C" w:rsidP="00E9491C">
      <w:pPr>
        <w:pStyle w:val="Heading2"/>
      </w:pPr>
      <w:r>
        <w:lastRenderedPageBreak/>
        <w:t>2.3</w:t>
      </w:r>
      <w:r>
        <w:tab/>
        <w:t>Appl</w:t>
      </w:r>
      <w:r w:rsidR="006B30C9">
        <w:t>ication of</w:t>
      </w:r>
      <w:r>
        <w:t xml:space="preserve"> </w:t>
      </w:r>
      <w:proofErr w:type="spellStart"/>
      <w:r w:rsidRPr="006B30C9">
        <w:rPr>
          <w:i/>
          <w:iCs/>
        </w:rPr>
        <w:t>logicalChannelSR-DelayTimer</w:t>
      </w:r>
      <w:proofErr w:type="spellEnd"/>
      <w:r w:rsidR="006B30C9">
        <w:t xml:space="preserve"> for SDT</w:t>
      </w:r>
    </w:p>
    <w:p w14:paraId="48D1DD3A" w14:textId="77777777" w:rsidR="00077DA6" w:rsidRDefault="00077DA6" w:rsidP="00077DA6">
      <w:r>
        <w:t>As agreed previously, no SR resources are configured for UE to use in RRC_INACTIVE during the SDT procedure. Hence, whenever a BSR is triggered, an SR and consequently an RA procedure is triggered to request for UL resources during the RA-SDT procedure as no periodic resources exist like in CG-SDT procedure.</w:t>
      </w:r>
    </w:p>
    <w:p w14:paraId="3620CA3F" w14:textId="77777777" w:rsidR="00077DA6" w:rsidRDefault="00077DA6" w:rsidP="00077DA6">
      <w:r>
        <w:t xml:space="preserve">As the NW is aware of the ongoing SDT procedure, triggering and performing RA for UL resource request may many times be unnecessary given the NW would anyway provide UL resources to the UE. The problem becomes especially with 2-step RA procedure where the </w:t>
      </w:r>
      <w:proofErr w:type="spellStart"/>
      <w:r>
        <w:t>MsgB</w:t>
      </w:r>
      <w:proofErr w:type="spellEnd"/>
      <w:r>
        <w:t xml:space="preserve"> does not come with UL grant but only DL transmission with contention resolution and TAC command. If the BSR was not included in MSGA, the BSR would subsequently trigger RA procedure to request UL resources – this problem did not exist in Rel-16 as BSR could be triggered only in CONNECTED mode.</w:t>
      </w:r>
    </w:p>
    <w:p w14:paraId="22FB9400" w14:textId="17C0C00D" w:rsidR="00077DA6" w:rsidRDefault="00077DA6" w:rsidP="00077DA6">
      <w:r>
        <w:t>To prevent frequent RA triggers, it should be possible for the NW to control how long time the UE shall wait before triggering RA procedure upon SR trigger. This would give NW time to provide UL grant and prevent the unnecessary RA procedure during the SDT procedure.</w:t>
      </w:r>
    </w:p>
    <w:p w14:paraId="286997EC" w14:textId="1D1444F7" w:rsidR="00077DA6" w:rsidRDefault="00077DA6" w:rsidP="00077DA6">
      <w:r>
        <w:rPr>
          <w:b/>
          <w:bCs/>
        </w:rPr>
        <w:t xml:space="preserve">Proposal </w:t>
      </w:r>
      <w:r w:rsidR="002C1AA2">
        <w:rPr>
          <w:b/>
          <w:bCs/>
        </w:rPr>
        <w:t>3</w:t>
      </w:r>
      <w:r>
        <w:rPr>
          <w:b/>
          <w:bCs/>
        </w:rPr>
        <w:t xml:space="preserve">: </w:t>
      </w:r>
      <w:r w:rsidRPr="002C1AA2">
        <w:t>To prevent frequent RA triggers due to BSR triggers, it should be possible for the NW to control how long time the UE shall wait before triggering RA procedure upon SR trigger.</w:t>
      </w:r>
    </w:p>
    <w:p w14:paraId="2DA678EB" w14:textId="718C4B2C" w:rsidR="002C1AA2" w:rsidRDefault="002C1AA2" w:rsidP="00077DA6">
      <w:r>
        <w:t xml:space="preserve">In the legacy, </w:t>
      </w:r>
      <w:proofErr w:type="spellStart"/>
      <w:r>
        <w:rPr>
          <w:i/>
          <w:iCs/>
        </w:rPr>
        <w:t>logicalChannelSR-DelayTimer</w:t>
      </w:r>
      <w:proofErr w:type="spellEnd"/>
      <w:r>
        <w:t xml:space="preserve"> is specified which serves exactly the purpose of the P</w:t>
      </w:r>
      <w:r w:rsidR="00F9501B">
        <w:t xml:space="preserve">roposal 3. However, the </w:t>
      </w:r>
      <w:proofErr w:type="spellStart"/>
      <w:r w:rsidR="00F9501B">
        <w:rPr>
          <w:i/>
          <w:iCs/>
        </w:rPr>
        <w:t>logicalChannelSR-DelayTimer</w:t>
      </w:r>
      <w:proofErr w:type="spellEnd"/>
      <w:r w:rsidR="00F9501B">
        <w:t xml:space="preserve"> is configured per LCH and NW may not intend to use </w:t>
      </w:r>
      <w:r w:rsidR="00043660">
        <w:t xml:space="preserve">the timer while the UE is in CONNECTED mode for all LCHs – while NW may intend to use the behaviour </w:t>
      </w:r>
      <w:proofErr w:type="spellStart"/>
      <w:r w:rsidR="00043660">
        <w:rPr>
          <w:i/>
          <w:iCs/>
        </w:rPr>
        <w:t>logicalChannelSR-DelayTimer</w:t>
      </w:r>
      <w:proofErr w:type="spellEnd"/>
      <w:r w:rsidR="00043660">
        <w:t xml:space="preserve"> enables for all the LCHs/DRBs configured for SDT</w:t>
      </w:r>
      <w:r w:rsidR="009D224B">
        <w:t xml:space="preserve">. For SDT, one timer would suffice </w:t>
      </w:r>
      <w:r w:rsidR="00F97F1E">
        <w:t>for the purpose.</w:t>
      </w:r>
    </w:p>
    <w:p w14:paraId="3534E214" w14:textId="19921538" w:rsidR="00077DA6" w:rsidRDefault="00F97F1E" w:rsidP="006B30C9">
      <w:r>
        <w:rPr>
          <w:b/>
          <w:bCs/>
        </w:rPr>
        <w:t xml:space="preserve">Proposal 4: </w:t>
      </w:r>
      <w:r>
        <w:t xml:space="preserve">Single timer can be configured by the NW to prevent unnecessary RA triggers due to BSR </w:t>
      </w:r>
      <w:proofErr w:type="gramStart"/>
      <w:r>
        <w:t>triggers,</w:t>
      </w:r>
      <w:proofErr w:type="gramEnd"/>
      <w:r w:rsidR="00526756">
        <w:t xml:space="preserve"> it applies to all LCHs/DRBs configured for SDT similarly to</w:t>
      </w:r>
      <w:r>
        <w:t xml:space="preserve"> </w:t>
      </w:r>
      <w:proofErr w:type="spellStart"/>
      <w:r>
        <w:rPr>
          <w:i/>
          <w:iCs/>
        </w:rPr>
        <w:t>logicalChannelSR-DelayTimer</w:t>
      </w:r>
      <w:proofErr w:type="spellEnd"/>
      <w:r w:rsidR="00526756">
        <w:rPr>
          <w:i/>
          <w:iCs/>
        </w:rPr>
        <w:t xml:space="preserve"> </w:t>
      </w:r>
      <w:r w:rsidR="00526756">
        <w:t>applies for a single LCH.</w:t>
      </w:r>
    </w:p>
    <w:p w14:paraId="095C47FE" w14:textId="63C227C4" w:rsidR="006B30C9" w:rsidRDefault="006B30C9" w:rsidP="006B30C9">
      <w:pPr>
        <w:pStyle w:val="Heading2"/>
      </w:pPr>
      <w:r>
        <w:t>2.4</w:t>
      </w:r>
      <w:r>
        <w:tab/>
        <w:t>SDT data volume calculation with CCCH SDU</w:t>
      </w:r>
    </w:p>
    <w:p w14:paraId="6930F4BF" w14:textId="02F0DEA2" w:rsidR="006B30C9" w:rsidRDefault="006B30C9" w:rsidP="006B30C9">
      <w:r>
        <w:t>It was left FFS if the CCCH SDU should be accounted in the SDT data volume</w:t>
      </w:r>
      <w:r w:rsidR="001F0696">
        <w:t xml:space="preserve">. </w:t>
      </w:r>
      <w:r w:rsidR="00971C6F">
        <w:t>A few companies claimed CCCH SDU is already calculated for BSR in the legacy, however, this is clearly not true: CCCH SDU is carried over SRB0 for which no</w:t>
      </w:r>
      <w:r w:rsidR="006923D5">
        <w:t xml:space="preserve"> LCG ID is associated and, hence, it is not reflected in the BSR calculation.</w:t>
      </w:r>
    </w:p>
    <w:p w14:paraId="6D999EC0" w14:textId="2939D1FF" w:rsidR="00760F4F" w:rsidRDefault="00760F4F" w:rsidP="006B30C9">
      <w:r>
        <w:rPr>
          <w:b/>
          <w:bCs/>
        </w:rPr>
        <w:t xml:space="preserve">Observation </w:t>
      </w:r>
      <w:r w:rsidR="00EF403B">
        <w:rPr>
          <w:b/>
          <w:bCs/>
        </w:rPr>
        <w:t>2</w:t>
      </w:r>
      <w:r>
        <w:rPr>
          <w:b/>
          <w:bCs/>
        </w:rPr>
        <w:t>:</w:t>
      </w:r>
      <w:r w:rsidR="00CE1372">
        <w:rPr>
          <w:b/>
          <w:bCs/>
        </w:rPr>
        <w:t xml:space="preserve"> </w:t>
      </w:r>
      <w:r w:rsidR="00CE1372">
        <w:t>CCCH SDU is carried over SRB0 for which no LCG ID is associated with and, hence, it is not reflected in the BSR calculation.</w:t>
      </w:r>
    </w:p>
    <w:p w14:paraId="13B5B1E3" w14:textId="69A8F256" w:rsidR="00CE1372" w:rsidRDefault="00CE1372" w:rsidP="006B30C9">
      <w:r>
        <w:t>Since the NW knows the CCCH SDU size</w:t>
      </w:r>
      <w:r w:rsidR="00593BF6">
        <w:t>, it can take the size in the account already upon configuring the SDT data volume threshold</w:t>
      </w:r>
      <w:r w:rsidR="0080717C">
        <w:t xml:space="preserve"> so there seems to be no motivation to consider it in the SDT data volume calculation.</w:t>
      </w:r>
    </w:p>
    <w:p w14:paraId="1165C189" w14:textId="0C1A55E1" w:rsidR="0080717C" w:rsidRPr="0080717C" w:rsidRDefault="0080717C" w:rsidP="006B30C9">
      <w:r>
        <w:rPr>
          <w:b/>
          <w:bCs/>
        </w:rPr>
        <w:t xml:space="preserve">Proposal </w:t>
      </w:r>
      <w:r w:rsidR="00EF403B">
        <w:rPr>
          <w:b/>
          <w:bCs/>
        </w:rPr>
        <w:t>5</w:t>
      </w:r>
      <w:r>
        <w:rPr>
          <w:b/>
          <w:bCs/>
        </w:rPr>
        <w:t>:</w:t>
      </w:r>
      <w:r>
        <w:t xml:space="preserve"> CCCH SDU size is not accounted in the SDT data volume calculation by the UE.</w:t>
      </w:r>
    </w:p>
    <w:p w14:paraId="5FF2457F" w14:textId="4ADBBB53" w:rsidR="00A209D6" w:rsidRPr="006E13D1" w:rsidRDefault="00F9640D" w:rsidP="00A209D6">
      <w:pPr>
        <w:pStyle w:val="Heading1"/>
      </w:pPr>
      <w:r>
        <w:t>3</w:t>
      </w:r>
      <w:r w:rsidR="00A209D6" w:rsidRPr="006E13D1">
        <w:tab/>
      </w:r>
      <w:r w:rsidR="008C3057">
        <w:t>Conclusion</w:t>
      </w:r>
    </w:p>
    <w:p w14:paraId="37F6EAEB" w14:textId="77777777" w:rsidR="00B62E17" w:rsidRPr="00840A73" w:rsidRDefault="00B62E17" w:rsidP="00B62E17">
      <w:r>
        <w:rPr>
          <w:b/>
          <w:bCs/>
        </w:rPr>
        <w:t xml:space="preserve">Observation 1: </w:t>
      </w:r>
      <w:r>
        <w:t>For PHR during the SDT procedure, the current default configuration specified in TS 38.331 can be applied without changes.</w:t>
      </w:r>
    </w:p>
    <w:p w14:paraId="169F0F9E" w14:textId="77777777" w:rsidR="00B62E17" w:rsidRDefault="00B62E17" w:rsidP="00B62E17">
      <w:r>
        <w:rPr>
          <w:b/>
          <w:bCs/>
        </w:rPr>
        <w:t>Proposal 1:</w:t>
      </w:r>
      <w:r>
        <w:t xml:space="preserve"> Specify one of the following options for default LCG configuration for DRBs configured for SDT:</w:t>
      </w:r>
    </w:p>
    <w:p w14:paraId="6F26D67E" w14:textId="77777777" w:rsidR="00B62E17" w:rsidRDefault="00B62E17" w:rsidP="00B62E17">
      <w:r>
        <w:tab/>
        <w:t>-</w:t>
      </w:r>
      <w:r>
        <w:tab/>
        <w:t xml:space="preserve">LCG 0 is also used for DRBs configured for </w:t>
      </w:r>
      <w:proofErr w:type="gramStart"/>
      <w:r>
        <w:t>SDT;</w:t>
      </w:r>
      <w:proofErr w:type="gramEnd"/>
    </w:p>
    <w:p w14:paraId="3FFFA585" w14:textId="77777777" w:rsidR="00B62E17" w:rsidRPr="002A12AB" w:rsidRDefault="00B62E17" w:rsidP="00B62E17">
      <w:r>
        <w:tab/>
        <w:t>-</w:t>
      </w:r>
      <w:r>
        <w:tab/>
        <w:t>Dedicated LCG ID (e.g., LCG 1) is used for DRBs configured for SDT.</w:t>
      </w:r>
    </w:p>
    <w:p w14:paraId="4D7DC1FF" w14:textId="77777777" w:rsidR="00B62E17" w:rsidRDefault="00B62E17" w:rsidP="00B62E17">
      <w:r>
        <w:rPr>
          <w:b/>
          <w:bCs/>
        </w:rPr>
        <w:t xml:space="preserve">Proposal 2: </w:t>
      </w:r>
      <w:r w:rsidRPr="00E9491C">
        <w:t>SDT DRBs that cannot be multiplexed on SDT resources available in the current SDT procedure due to LCH restrictions should be considered as non-SDT DRBs for the duration of the SDT procedure.</w:t>
      </w:r>
    </w:p>
    <w:p w14:paraId="6C8835F1" w14:textId="77777777" w:rsidR="00B62E17" w:rsidRDefault="00B62E17" w:rsidP="00B62E17">
      <w:r>
        <w:rPr>
          <w:b/>
          <w:bCs/>
        </w:rPr>
        <w:t xml:space="preserve">Proposal 3: </w:t>
      </w:r>
      <w:r w:rsidRPr="002C1AA2">
        <w:t>To prevent frequent RA triggers due to BSR triggers, it should be possible for the NW to control how long time the UE shall wait before triggering RA procedure upon SR trigger.</w:t>
      </w:r>
    </w:p>
    <w:p w14:paraId="408A4461" w14:textId="77777777" w:rsidR="00B62E17" w:rsidRDefault="00B62E17" w:rsidP="00B62E17">
      <w:r>
        <w:rPr>
          <w:b/>
          <w:bCs/>
        </w:rPr>
        <w:t xml:space="preserve">Proposal 4: </w:t>
      </w:r>
      <w:r>
        <w:t xml:space="preserve">Single timer can be configured by the NW to prevent unnecessary RA triggers due to BSR </w:t>
      </w:r>
      <w:proofErr w:type="gramStart"/>
      <w:r>
        <w:t>triggers,</w:t>
      </w:r>
      <w:proofErr w:type="gramEnd"/>
      <w:r>
        <w:t xml:space="preserve"> it applies to all LCHs/DRBs configured for SDT similarly to </w:t>
      </w:r>
      <w:proofErr w:type="spellStart"/>
      <w:r>
        <w:rPr>
          <w:i/>
          <w:iCs/>
        </w:rPr>
        <w:t>logicalChannelSR-DelayTimer</w:t>
      </w:r>
      <w:proofErr w:type="spellEnd"/>
      <w:r>
        <w:rPr>
          <w:i/>
          <w:iCs/>
        </w:rPr>
        <w:t xml:space="preserve"> </w:t>
      </w:r>
      <w:r>
        <w:t>applies for a single LCH.</w:t>
      </w:r>
    </w:p>
    <w:p w14:paraId="136E1163" w14:textId="77777777" w:rsidR="00B62E17" w:rsidRDefault="00B62E17" w:rsidP="00B62E17">
      <w:r>
        <w:rPr>
          <w:b/>
          <w:bCs/>
        </w:rPr>
        <w:lastRenderedPageBreak/>
        <w:t xml:space="preserve">Observation 2: </w:t>
      </w:r>
      <w:r>
        <w:t>CCCH SDU is carried over SRB0 for which no LCG ID is associated with and, hence, it is not reflected in the BSR calculation.</w:t>
      </w:r>
    </w:p>
    <w:p w14:paraId="009DB5C5" w14:textId="77777777" w:rsidR="00B62E17" w:rsidRPr="0080717C" w:rsidRDefault="00B62E17" w:rsidP="00B62E17">
      <w:r>
        <w:rPr>
          <w:b/>
          <w:bCs/>
        </w:rPr>
        <w:t>Proposal 5:</w:t>
      </w:r>
      <w:r>
        <w:t xml:space="preserve"> CCCH SDU size is not accounted in the SDT data volume calculation by the UE.</w:t>
      </w:r>
    </w:p>
    <w:p w14:paraId="35F222F4" w14:textId="79291426" w:rsidR="00080512" w:rsidRPr="00A209D6" w:rsidRDefault="00080512" w:rsidP="00B62E17"/>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97EA1" w14:textId="77777777" w:rsidR="00FC2DF9" w:rsidRDefault="00FC2DF9">
      <w:r>
        <w:separator/>
      </w:r>
    </w:p>
  </w:endnote>
  <w:endnote w:type="continuationSeparator" w:id="0">
    <w:p w14:paraId="24A5FECE" w14:textId="77777777" w:rsidR="00FC2DF9" w:rsidRDefault="00FC2DF9">
      <w:r>
        <w:continuationSeparator/>
      </w:r>
    </w:p>
  </w:endnote>
  <w:endnote w:type="continuationNotice" w:id="1">
    <w:p w14:paraId="49F9DE20" w14:textId="77777777" w:rsidR="00FC2DF9" w:rsidRDefault="00FC2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32BFD" w14:textId="77777777" w:rsidR="00FC2DF9" w:rsidRDefault="00FC2DF9">
      <w:r>
        <w:separator/>
      </w:r>
    </w:p>
  </w:footnote>
  <w:footnote w:type="continuationSeparator" w:id="0">
    <w:p w14:paraId="4711BE7A" w14:textId="77777777" w:rsidR="00FC2DF9" w:rsidRDefault="00FC2DF9">
      <w:r>
        <w:continuationSeparator/>
      </w:r>
    </w:p>
  </w:footnote>
  <w:footnote w:type="continuationNotice" w:id="1">
    <w:p w14:paraId="3CC21D25" w14:textId="77777777" w:rsidR="00FC2DF9" w:rsidRDefault="00FC2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7A2"/>
    <w:rsid w:val="00040095"/>
    <w:rsid w:val="00043660"/>
    <w:rsid w:val="00065268"/>
    <w:rsid w:val="00073C9C"/>
    <w:rsid w:val="00077DA6"/>
    <w:rsid w:val="00080512"/>
    <w:rsid w:val="00090468"/>
    <w:rsid w:val="00094568"/>
    <w:rsid w:val="000B7BCF"/>
    <w:rsid w:val="000C522B"/>
    <w:rsid w:val="000D58AB"/>
    <w:rsid w:val="00112F1A"/>
    <w:rsid w:val="00145075"/>
    <w:rsid w:val="001741A0"/>
    <w:rsid w:val="00175FA0"/>
    <w:rsid w:val="00194CD0"/>
    <w:rsid w:val="001A2188"/>
    <w:rsid w:val="001B49C9"/>
    <w:rsid w:val="001C23F4"/>
    <w:rsid w:val="001C4F79"/>
    <w:rsid w:val="001F0696"/>
    <w:rsid w:val="001F168B"/>
    <w:rsid w:val="001F7831"/>
    <w:rsid w:val="00203EFA"/>
    <w:rsid w:val="00204045"/>
    <w:rsid w:val="0020712B"/>
    <w:rsid w:val="0022606D"/>
    <w:rsid w:val="00231728"/>
    <w:rsid w:val="002318E9"/>
    <w:rsid w:val="00244A05"/>
    <w:rsid w:val="00250404"/>
    <w:rsid w:val="002610D8"/>
    <w:rsid w:val="002630C1"/>
    <w:rsid w:val="002747EC"/>
    <w:rsid w:val="002855BF"/>
    <w:rsid w:val="00293E57"/>
    <w:rsid w:val="002A12AB"/>
    <w:rsid w:val="002C1AA2"/>
    <w:rsid w:val="002C3D01"/>
    <w:rsid w:val="002D155E"/>
    <w:rsid w:val="002D55FF"/>
    <w:rsid w:val="002F0D22"/>
    <w:rsid w:val="00311B17"/>
    <w:rsid w:val="003172DC"/>
    <w:rsid w:val="00325AE3"/>
    <w:rsid w:val="00326069"/>
    <w:rsid w:val="0035462D"/>
    <w:rsid w:val="0036459E"/>
    <w:rsid w:val="00364B41"/>
    <w:rsid w:val="00383096"/>
    <w:rsid w:val="0039346C"/>
    <w:rsid w:val="00393E80"/>
    <w:rsid w:val="003A41EF"/>
    <w:rsid w:val="003B40AD"/>
    <w:rsid w:val="003C4E37"/>
    <w:rsid w:val="003E16BE"/>
    <w:rsid w:val="003F4E28"/>
    <w:rsid w:val="004006E8"/>
    <w:rsid w:val="00401855"/>
    <w:rsid w:val="0040252A"/>
    <w:rsid w:val="00465587"/>
    <w:rsid w:val="00477455"/>
    <w:rsid w:val="004A1F7B"/>
    <w:rsid w:val="004C44D2"/>
    <w:rsid w:val="004D3578"/>
    <w:rsid w:val="004D380D"/>
    <w:rsid w:val="004E213A"/>
    <w:rsid w:val="004F2190"/>
    <w:rsid w:val="004F4540"/>
    <w:rsid w:val="004F73A7"/>
    <w:rsid w:val="00503171"/>
    <w:rsid w:val="00506C28"/>
    <w:rsid w:val="00512C92"/>
    <w:rsid w:val="00526756"/>
    <w:rsid w:val="00532814"/>
    <w:rsid w:val="00534DA0"/>
    <w:rsid w:val="00543E6C"/>
    <w:rsid w:val="00565087"/>
    <w:rsid w:val="0056573F"/>
    <w:rsid w:val="00571279"/>
    <w:rsid w:val="00593BF6"/>
    <w:rsid w:val="005A392D"/>
    <w:rsid w:val="005A49C6"/>
    <w:rsid w:val="00611566"/>
    <w:rsid w:val="00646D99"/>
    <w:rsid w:val="00656910"/>
    <w:rsid w:val="006574C0"/>
    <w:rsid w:val="00664DCD"/>
    <w:rsid w:val="006923D5"/>
    <w:rsid w:val="00696821"/>
    <w:rsid w:val="006B30C9"/>
    <w:rsid w:val="006C66D8"/>
    <w:rsid w:val="006D1E24"/>
    <w:rsid w:val="006D35DE"/>
    <w:rsid w:val="006E1057"/>
    <w:rsid w:val="006E1417"/>
    <w:rsid w:val="006E7C67"/>
    <w:rsid w:val="006F6A2C"/>
    <w:rsid w:val="007069DC"/>
    <w:rsid w:val="00710201"/>
    <w:rsid w:val="0072073A"/>
    <w:rsid w:val="007342B5"/>
    <w:rsid w:val="00734A5B"/>
    <w:rsid w:val="00744E76"/>
    <w:rsid w:val="00757D40"/>
    <w:rsid w:val="00760F4F"/>
    <w:rsid w:val="007662B5"/>
    <w:rsid w:val="00781F0F"/>
    <w:rsid w:val="0078727C"/>
    <w:rsid w:val="0079049D"/>
    <w:rsid w:val="00793DC5"/>
    <w:rsid w:val="00796823"/>
    <w:rsid w:val="007A2E55"/>
    <w:rsid w:val="007B18D8"/>
    <w:rsid w:val="007C095F"/>
    <w:rsid w:val="007C2DD0"/>
    <w:rsid w:val="007F2E08"/>
    <w:rsid w:val="008028A4"/>
    <w:rsid w:val="0080717C"/>
    <w:rsid w:val="00813245"/>
    <w:rsid w:val="00840A73"/>
    <w:rsid w:val="00840C27"/>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1326"/>
    <w:rsid w:val="00936071"/>
    <w:rsid w:val="009376CD"/>
    <w:rsid w:val="00940212"/>
    <w:rsid w:val="00942EC2"/>
    <w:rsid w:val="00961B32"/>
    <w:rsid w:val="00962509"/>
    <w:rsid w:val="00970DB3"/>
    <w:rsid w:val="00971C6F"/>
    <w:rsid w:val="00974BB0"/>
    <w:rsid w:val="00975BCD"/>
    <w:rsid w:val="009928A9"/>
    <w:rsid w:val="009A0AF3"/>
    <w:rsid w:val="009B07CD"/>
    <w:rsid w:val="009C19E9"/>
    <w:rsid w:val="009D224B"/>
    <w:rsid w:val="009D74A6"/>
    <w:rsid w:val="009E0E87"/>
    <w:rsid w:val="00A01866"/>
    <w:rsid w:val="00A10F02"/>
    <w:rsid w:val="00A204CA"/>
    <w:rsid w:val="00A209D6"/>
    <w:rsid w:val="00A22738"/>
    <w:rsid w:val="00A430EC"/>
    <w:rsid w:val="00A53724"/>
    <w:rsid w:val="00A54B2B"/>
    <w:rsid w:val="00A70C63"/>
    <w:rsid w:val="00A82346"/>
    <w:rsid w:val="00A9671C"/>
    <w:rsid w:val="00AA1553"/>
    <w:rsid w:val="00AE1422"/>
    <w:rsid w:val="00AF1A24"/>
    <w:rsid w:val="00AF68D1"/>
    <w:rsid w:val="00B05380"/>
    <w:rsid w:val="00B05962"/>
    <w:rsid w:val="00B15449"/>
    <w:rsid w:val="00B16C2F"/>
    <w:rsid w:val="00B269B9"/>
    <w:rsid w:val="00B27303"/>
    <w:rsid w:val="00B47FD1"/>
    <w:rsid w:val="00B516BB"/>
    <w:rsid w:val="00B606E6"/>
    <w:rsid w:val="00B62E17"/>
    <w:rsid w:val="00B7538C"/>
    <w:rsid w:val="00B84DB2"/>
    <w:rsid w:val="00BB313E"/>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E1372"/>
    <w:rsid w:val="00CF355C"/>
    <w:rsid w:val="00D212B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F50"/>
    <w:rsid w:val="00E06F60"/>
    <w:rsid w:val="00E422EE"/>
    <w:rsid w:val="00E46C08"/>
    <w:rsid w:val="00E471CF"/>
    <w:rsid w:val="00E62835"/>
    <w:rsid w:val="00E733F6"/>
    <w:rsid w:val="00E77645"/>
    <w:rsid w:val="00E83697"/>
    <w:rsid w:val="00E859B6"/>
    <w:rsid w:val="00E9491C"/>
    <w:rsid w:val="00EA66C9"/>
    <w:rsid w:val="00EC4A25"/>
    <w:rsid w:val="00EF403B"/>
    <w:rsid w:val="00EF612C"/>
    <w:rsid w:val="00F025A2"/>
    <w:rsid w:val="00F036E9"/>
    <w:rsid w:val="00F07388"/>
    <w:rsid w:val="00F2026E"/>
    <w:rsid w:val="00F2210A"/>
    <w:rsid w:val="00F23E2E"/>
    <w:rsid w:val="00F31372"/>
    <w:rsid w:val="00F37743"/>
    <w:rsid w:val="00F54A3D"/>
    <w:rsid w:val="00F54CB0"/>
    <w:rsid w:val="00F579CD"/>
    <w:rsid w:val="00F6448B"/>
    <w:rsid w:val="00F653B8"/>
    <w:rsid w:val="00F71B89"/>
    <w:rsid w:val="00F7353C"/>
    <w:rsid w:val="00F76F8F"/>
    <w:rsid w:val="00F8051C"/>
    <w:rsid w:val="00F87725"/>
    <w:rsid w:val="00F941DF"/>
    <w:rsid w:val="00F9501B"/>
    <w:rsid w:val="00F956F8"/>
    <w:rsid w:val="00F9640D"/>
    <w:rsid w:val="00F97F1E"/>
    <w:rsid w:val="00FA1266"/>
    <w:rsid w:val="00FB36FA"/>
    <w:rsid w:val="00FC1192"/>
    <w:rsid w:val="00FC2DF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E7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1415</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47</cp:revision>
  <dcterms:created xsi:type="dcterms:W3CDTF">2022-01-10T09:08:00Z</dcterms:created>
  <dcterms:modified xsi:type="dcterms:W3CDTF">2022-01-11T10:07:00Z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